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7706" w14:textId="755F8255" w:rsidR="00DC740A" w:rsidRDefault="0064794C">
      <w:r>
        <w:rPr>
          <w:b/>
          <w:bCs/>
          <w:noProof/>
          <w:sz w:val="32"/>
          <w:szCs w:val="32"/>
        </w:rPr>
        <mc:AlternateContent>
          <mc:Choice Requires="wps">
            <w:drawing>
              <wp:anchor distT="0" distB="0" distL="114300" distR="114300" simplePos="0" relativeHeight="251659264" behindDoc="1" locked="0" layoutInCell="1" allowOverlap="1" wp14:anchorId="705CA0AD" wp14:editId="71FEE039">
                <wp:simplePos x="0" y="0"/>
                <wp:positionH relativeFrom="column">
                  <wp:posOffset>461975</wp:posOffset>
                </wp:positionH>
                <wp:positionV relativeFrom="paragraph">
                  <wp:posOffset>11875</wp:posOffset>
                </wp:positionV>
                <wp:extent cx="5894243" cy="6762750"/>
                <wp:effectExtent l="0" t="0" r="0" b="0"/>
                <wp:wrapNone/>
                <wp:docPr id="1" name="Rectangle: Rounded Corners 1"/>
                <wp:cNvGraphicFramePr/>
                <a:graphic xmlns:a="http://schemas.openxmlformats.org/drawingml/2006/main">
                  <a:graphicData uri="http://schemas.microsoft.com/office/word/2010/wordprocessingShape">
                    <wps:wsp>
                      <wps:cNvSpPr/>
                      <wps:spPr>
                        <a:xfrm>
                          <a:off x="0" y="0"/>
                          <a:ext cx="5894243" cy="6762750"/>
                        </a:xfrm>
                        <a:prstGeom prst="roundRect">
                          <a:avLst/>
                        </a:prstGeom>
                        <a:solidFill>
                          <a:schemeClr val="accent6">
                            <a:lumMod val="20000"/>
                            <a:lumOff val="80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82A18C" id="Rectangle: Rounded Corners 1" o:spid="_x0000_s1026" style="position:absolute;margin-left:36.4pt;margin-top:.95pt;width:464.1pt;height:5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" fillcolor="#e2efd9 [665]" stroked="f">
                <v:fill opacity="32896f"/>
              </v:roundrect>
            </w:pict>
          </mc:Fallback>
        </mc:AlternateContent>
      </w:r>
    </w:p>
    <w:p w14:paraId="038AD1C4" w14:textId="77777777" w:rsidR="000F78D3" w:rsidRDefault="00BD3E35">
      <w:r>
        <w:rPr>
          <w:noProof/>
        </w:rPr>
        <mc:AlternateContent>
          <mc:Choice Requires="wps">
            <w:drawing>
              <wp:anchor distT="0" distB="0" distL="114300" distR="114300" simplePos="0" relativeHeight="251660288" behindDoc="0" locked="0" layoutInCell="1" allowOverlap="1" wp14:anchorId="57A09C12" wp14:editId="103A0D9D">
                <wp:simplePos x="0" y="0"/>
                <wp:positionH relativeFrom="margin">
                  <wp:posOffset>2716452</wp:posOffset>
                </wp:positionH>
                <wp:positionV relativeFrom="paragraph">
                  <wp:posOffset>2735201</wp:posOffset>
                </wp:positionV>
                <wp:extent cx="6064101" cy="766913"/>
                <wp:effectExtent l="635" t="0" r="0" b="0"/>
                <wp:wrapNone/>
                <wp:docPr id="2" name="Text Box 2"/>
                <wp:cNvGraphicFramePr/>
                <a:graphic xmlns:a="http://schemas.openxmlformats.org/drawingml/2006/main">
                  <a:graphicData uri="http://schemas.microsoft.com/office/word/2010/wordprocessingShape">
                    <wps:wsp>
                      <wps:cNvSpPr txBox="1"/>
                      <wps:spPr>
                        <a:xfrm rot="16200000">
                          <a:off x="0" y="0"/>
                          <a:ext cx="6064101" cy="766913"/>
                        </a:xfrm>
                        <a:prstGeom prst="rect">
                          <a:avLst/>
                        </a:prstGeom>
                        <a:noFill/>
                        <a:ln w="6350">
                          <a:noFill/>
                        </a:ln>
                      </wps:spPr>
                      <wps:txbx>
                        <w:txbxContent>
                          <w:p w14:paraId="523AD3C8" w14:textId="452803C9" w:rsidR="00BD3E35" w:rsidRPr="00ED7BF8" w:rsidRDefault="008A5F36" w:rsidP="002667C5">
                            <w:pPr>
                              <w:jc w:val="center"/>
                              <w:rPr>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D7BF8">
                              <w:rPr>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WYFRS </w:t>
                            </w:r>
                            <w:r w:rsidR="00ED7BF8" w:rsidRPr="00ED7BF8">
                              <w:rPr>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Operational </w:t>
                            </w:r>
                            <w:r w:rsidRPr="00ED7BF8">
                              <w:rPr>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Training</w:t>
                            </w:r>
                            <w:r w:rsidR="002667C5" w:rsidRPr="00ED7BF8">
                              <w:rPr>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4794C" w:rsidRPr="00ED7BF8">
                              <w:rPr>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Strategy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09C12" id="_x0000_t202" coordsize="21600,21600" o:spt="202" path="m,l,21600r21600,l21600,xe">
                <v:stroke joinstyle="miter"/>
                <v:path gradientshapeok="t" o:connecttype="rect"/>
              </v:shapetype>
              <v:shape id="Text Box 2" o:spid="_x0000_s1026" type="#_x0000_t202" style="position:absolute;margin-left:213.9pt;margin-top:215.35pt;width:477.5pt;height:60.4pt;rotation:-9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" filled="f" stroked="f" strokeweight=".5pt">
                <v:textbox>
                  <w:txbxContent>
                    <w:p w14:paraId="523AD3C8" w14:textId="452803C9" w:rsidR="00BD3E35" w:rsidRPr="00ED7BF8" w:rsidRDefault="008A5F36" w:rsidP="002667C5">
                      <w:pPr>
                        <w:jc w:val="center"/>
                        <w:rPr>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D7BF8">
                        <w:rPr>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WYFRS </w:t>
                      </w:r>
                      <w:r w:rsidR="00ED7BF8" w:rsidRPr="00ED7BF8">
                        <w:rPr>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Operational </w:t>
                      </w:r>
                      <w:r w:rsidRPr="00ED7BF8">
                        <w:rPr>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Training</w:t>
                      </w:r>
                      <w:r w:rsidR="002667C5" w:rsidRPr="00ED7BF8">
                        <w:rPr>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4794C" w:rsidRPr="00ED7BF8">
                        <w:rPr>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Strategy</w:t>
                      </w:r>
                    </w:p>
                  </w:txbxContent>
                </v:textbox>
                <w10:wrap anchorx="margin"/>
              </v:shape>
            </w:pict>
          </mc:Fallback>
        </mc:AlternateContent>
      </w:r>
      <w:r w:rsidR="00F40886">
        <w:rPr>
          <w:noProof/>
        </w:rPr>
        <w:drawing>
          <wp:inline distT="0" distB="0" distL="0" distR="0" wp14:anchorId="28C40E3D" wp14:editId="5F35FDB9">
            <wp:extent cx="6153150" cy="6038850"/>
            <wp:effectExtent l="0" t="38100" r="0" b="3810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CB3F8E1" w14:textId="77777777" w:rsidR="0064794C" w:rsidRDefault="0064794C"/>
    <w:p w14:paraId="27074156" w14:textId="77777777" w:rsidR="0064794C" w:rsidRDefault="0064794C"/>
    <w:p w14:paraId="7A974AF6" w14:textId="347ABA75" w:rsidR="00385576" w:rsidRDefault="00385576" w:rsidP="00385576">
      <w:pPr>
        <w:jc w:val="center"/>
      </w:pPr>
      <w:r>
        <w:t xml:space="preserve">Organisational priority - We will </w:t>
      </w:r>
      <w:r w:rsidRPr="00995468">
        <w:rPr>
          <w:b/>
          <w:bCs/>
        </w:rPr>
        <w:t>support, develop and enable</w:t>
      </w:r>
      <w:r>
        <w:t xml:space="preserve"> our people to be at their best</w:t>
      </w:r>
    </w:p>
    <w:p w14:paraId="55403501" w14:textId="2CACF9F3" w:rsidR="00AA657D" w:rsidRPr="008A02E3" w:rsidRDefault="00AA657D" w:rsidP="00723036">
      <w:pPr>
        <w:jc w:val="center"/>
        <w:sectPr w:rsidR="00AA657D" w:rsidRPr="008A02E3" w:rsidSect="001D671B">
          <w:headerReference w:type="default" r:id="rId17"/>
          <w:pgSz w:w="11906" w:h="16838"/>
          <w:pgMar w:top="1440" w:right="849" w:bottom="1440" w:left="993" w:header="708" w:footer="708" w:gutter="0"/>
          <w:cols w:space="708"/>
          <w:docGrid w:linePitch="360"/>
        </w:sectPr>
      </w:pPr>
    </w:p>
    <w:tbl>
      <w:tblPr>
        <w:tblStyle w:val="TableGrid"/>
        <w:tblW w:w="16019" w:type="dxa"/>
        <w:tblInd w:w="-998" w:type="dxa"/>
        <w:tblLook w:val="04A0" w:firstRow="1" w:lastRow="0" w:firstColumn="1" w:lastColumn="0" w:noHBand="0" w:noVBand="1"/>
      </w:tblPr>
      <w:tblGrid>
        <w:gridCol w:w="2269"/>
        <w:gridCol w:w="7088"/>
        <w:gridCol w:w="6662"/>
      </w:tblGrid>
      <w:tr w:rsidR="003E54A2" w14:paraId="01DC937A" w14:textId="77777777" w:rsidTr="003E54A2">
        <w:trPr>
          <w:trHeight w:val="550"/>
        </w:trPr>
        <w:tc>
          <w:tcPr>
            <w:tcW w:w="9357" w:type="dxa"/>
            <w:gridSpan w:val="2"/>
            <w:tcBorders>
              <w:right w:val="single" w:sz="4" w:space="0" w:color="FFFFFF" w:themeColor="background1"/>
            </w:tcBorders>
            <w:shd w:val="clear" w:color="auto" w:fill="BDD6EE" w:themeFill="accent5" w:themeFillTint="66"/>
            <w:vAlign w:val="center"/>
          </w:tcPr>
          <w:p w14:paraId="606A6EE9" w14:textId="24452D00" w:rsidR="003E54A2" w:rsidRDefault="003E54A2" w:rsidP="003E54A2">
            <w:pPr>
              <w:jc w:val="center"/>
            </w:pPr>
            <w:bookmarkStart w:id="0" w:name="_Hlk72240857"/>
            <w:r>
              <w:lastRenderedPageBreak/>
              <w:t xml:space="preserve">We will </w:t>
            </w:r>
            <w:r w:rsidRPr="00995468">
              <w:rPr>
                <w:b/>
                <w:bCs/>
              </w:rPr>
              <w:t>support, develop and enable</w:t>
            </w:r>
            <w:r>
              <w:t xml:space="preserve"> our people to be at their best.</w:t>
            </w:r>
          </w:p>
        </w:tc>
        <w:tc>
          <w:tcPr>
            <w:tcW w:w="6662" w:type="dxa"/>
            <w:tcBorders>
              <w:left w:val="single" w:sz="4" w:space="0" w:color="FFFFFF" w:themeColor="background1"/>
              <w:bottom w:val="single" w:sz="4" w:space="0" w:color="FFFFFF" w:themeColor="background1"/>
            </w:tcBorders>
            <w:shd w:val="clear" w:color="auto" w:fill="000000" w:themeFill="text1"/>
            <w:vAlign w:val="center"/>
          </w:tcPr>
          <w:p w14:paraId="0CDD1E8F" w14:textId="44BD2767" w:rsidR="003E54A2" w:rsidRPr="0066185C" w:rsidRDefault="003E54A2" w:rsidP="003E54A2">
            <w:pPr>
              <w:jc w:val="center"/>
              <w:rPr>
                <w:b/>
                <w:bCs/>
                <w:sz w:val="40"/>
                <w:szCs w:val="40"/>
              </w:rPr>
            </w:pPr>
            <w:r>
              <w:t>Strategy duration 2021-23</w:t>
            </w:r>
          </w:p>
        </w:tc>
      </w:tr>
      <w:bookmarkEnd w:id="0"/>
      <w:tr w:rsidR="00E729FD" w14:paraId="3222AFDD" w14:textId="77777777" w:rsidTr="004D71B2">
        <w:tc>
          <w:tcPr>
            <w:tcW w:w="2269" w:type="dxa"/>
          </w:tcPr>
          <w:p w14:paraId="3BF587C1" w14:textId="77777777" w:rsidR="00E729FD" w:rsidRPr="004D71B2" w:rsidRDefault="00E729FD" w:rsidP="00E729FD">
            <w:pPr>
              <w:rPr>
                <w:sz w:val="20"/>
                <w:szCs w:val="20"/>
              </w:rPr>
            </w:pPr>
            <w:r w:rsidRPr="004D71B2">
              <w:rPr>
                <w:sz w:val="20"/>
                <w:szCs w:val="20"/>
              </w:rPr>
              <w:t>Vision</w:t>
            </w:r>
          </w:p>
          <w:p w14:paraId="06125A8F" w14:textId="7FFF0C59" w:rsidR="00E729FD" w:rsidRPr="004D71B2" w:rsidRDefault="00E729FD" w:rsidP="0071779E">
            <w:pPr>
              <w:rPr>
                <w:sz w:val="20"/>
                <w:szCs w:val="20"/>
              </w:rPr>
            </w:pPr>
          </w:p>
        </w:tc>
        <w:tc>
          <w:tcPr>
            <w:tcW w:w="13750" w:type="dxa"/>
            <w:gridSpan w:val="2"/>
          </w:tcPr>
          <w:p w14:paraId="3896CE9A" w14:textId="77777777" w:rsidR="006A7E96" w:rsidRPr="004D71B2" w:rsidRDefault="006A7E96" w:rsidP="00F77D9A">
            <w:pPr>
              <w:pStyle w:val="ListParagraph"/>
              <w:numPr>
                <w:ilvl w:val="0"/>
                <w:numId w:val="2"/>
              </w:numPr>
              <w:jc w:val="both"/>
              <w:rPr>
                <w:sz w:val="20"/>
                <w:szCs w:val="20"/>
              </w:rPr>
            </w:pPr>
            <w:r w:rsidRPr="004D71B2">
              <w:rPr>
                <w:sz w:val="20"/>
                <w:szCs w:val="20"/>
              </w:rPr>
              <w:t>We will continue to learn and develop through local and national learning and through evaluation and engagement with our staff and stakeholders so that we can deliver a provision that meets both staff and organisational needs now and in the future.</w:t>
            </w:r>
          </w:p>
          <w:p w14:paraId="72388CDF" w14:textId="7C5AB7B3" w:rsidR="00CC6537" w:rsidRPr="004D71B2" w:rsidRDefault="006A7E96" w:rsidP="00F77D9A">
            <w:pPr>
              <w:pStyle w:val="ListParagraph"/>
              <w:numPr>
                <w:ilvl w:val="0"/>
                <w:numId w:val="2"/>
              </w:numPr>
              <w:jc w:val="both"/>
              <w:rPr>
                <w:sz w:val="20"/>
                <w:szCs w:val="20"/>
              </w:rPr>
            </w:pPr>
            <w:r w:rsidRPr="004D71B2">
              <w:rPr>
                <w:sz w:val="20"/>
                <w:szCs w:val="20"/>
              </w:rPr>
              <w:t>We will c</w:t>
            </w:r>
            <w:r w:rsidR="00CC6537" w:rsidRPr="004D71B2">
              <w:rPr>
                <w:sz w:val="20"/>
                <w:szCs w:val="20"/>
              </w:rPr>
              <w:t>reate and sustain a positive training environment and culture that promotes technical and non-technical skills in all operational roles.</w:t>
            </w:r>
          </w:p>
          <w:p w14:paraId="0928CC03" w14:textId="0280C753" w:rsidR="00B5019B" w:rsidRPr="004D71B2" w:rsidRDefault="008E0ADC" w:rsidP="001D48BE">
            <w:pPr>
              <w:pStyle w:val="ListParagraph"/>
              <w:numPr>
                <w:ilvl w:val="0"/>
                <w:numId w:val="2"/>
              </w:numPr>
              <w:jc w:val="both"/>
              <w:rPr>
                <w:sz w:val="20"/>
                <w:szCs w:val="20"/>
              </w:rPr>
            </w:pPr>
            <w:r w:rsidRPr="004D71B2">
              <w:rPr>
                <w:sz w:val="20"/>
                <w:szCs w:val="20"/>
              </w:rPr>
              <w:t>We will e</w:t>
            </w:r>
            <w:r w:rsidR="00F77D9A" w:rsidRPr="004D71B2">
              <w:rPr>
                <w:sz w:val="20"/>
                <w:szCs w:val="20"/>
              </w:rPr>
              <w:t>xplore new ways of learning so that we can provide staff with the most appropriate and inclusive training that will meet individual needs.</w:t>
            </w:r>
          </w:p>
        </w:tc>
      </w:tr>
      <w:tr w:rsidR="00E729FD" w14:paraId="0B4EA7CB" w14:textId="77777777" w:rsidTr="004D71B2">
        <w:tc>
          <w:tcPr>
            <w:tcW w:w="2269" w:type="dxa"/>
          </w:tcPr>
          <w:p w14:paraId="65B5791C" w14:textId="77777777" w:rsidR="00E729FD" w:rsidRPr="004D71B2" w:rsidRDefault="00E729FD" w:rsidP="00E729FD">
            <w:pPr>
              <w:rPr>
                <w:sz w:val="20"/>
                <w:szCs w:val="20"/>
              </w:rPr>
            </w:pPr>
            <w:r w:rsidRPr="004D71B2">
              <w:rPr>
                <w:sz w:val="20"/>
                <w:szCs w:val="20"/>
              </w:rPr>
              <w:t>Environment</w:t>
            </w:r>
          </w:p>
          <w:p w14:paraId="3BBFAFD6" w14:textId="7AA9C0AD" w:rsidR="00E729FD" w:rsidRPr="004D71B2" w:rsidRDefault="00E729FD" w:rsidP="00E729FD">
            <w:pPr>
              <w:rPr>
                <w:color w:val="BFBFBF" w:themeColor="background1" w:themeShade="BF"/>
                <w:sz w:val="20"/>
                <w:szCs w:val="20"/>
              </w:rPr>
            </w:pPr>
          </w:p>
        </w:tc>
        <w:tc>
          <w:tcPr>
            <w:tcW w:w="13750" w:type="dxa"/>
            <w:gridSpan w:val="2"/>
          </w:tcPr>
          <w:p w14:paraId="36452CFF" w14:textId="7D3D88C0" w:rsidR="00497040" w:rsidRPr="001D3A99" w:rsidRDefault="00385576" w:rsidP="005874BA">
            <w:pPr>
              <w:pStyle w:val="ListParagraph"/>
              <w:numPr>
                <w:ilvl w:val="0"/>
                <w:numId w:val="3"/>
              </w:numPr>
              <w:rPr>
                <w:sz w:val="20"/>
                <w:szCs w:val="20"/>
              </w:rPr>
            </w:pPr>
            <w:r w:rsidRPr="001D3A99">
              <w:rPr>
                <w:sz w:val="20"/>
                <w:szCs w:val="20"/>
              </w:rPr>
              <w:t>Central O</w:t>
            </w:r>
            <w:r w:rsidR="00497040" w:rsidRPr="001D3A99">
              <w:rPr>
                <w:sz w:val="20"/>
                <w:szCs w:val="20"/>
              </w:rPr>
              <w:t>perational Training Delivery is based at FSHQ.</w:t>
            </w:r>
            <w:r w:rsidR="001D3A99">
              <w:rPr>
                <w:sz w:val="20"/>
                <w:szCs w:val="20"/>
              </w:rPr>
              <w:t xml:space="preserve"> </w:t>
            </w:r>
            <w:r w:rsidR="009F5462" w:rsidRPr="001D3A99">
              <w:rPr>
                <w:sz w:val="20"/>
                <w:szCs w:val="20"/>
              </w:rPr>
              <w:t xml:space="preserve">District Training Strategies are developed by the District Command teams and are aligned to the specific </w:t>
            </w:r>
            <w:r w:rsidR="00C56A54">
              <w:rPr>
                <w:sz w:val="20"/>
                <w:szCs w:val="20"/>
              </w:rPr>
              <w:t>D</w:t>
            </w:r>
            <w:r w:rsidR="009F5462" w:rsidRPr="001D3A99">
              <w:rPr>
                <w:sz w:val="20"/>
                <w:szCs w:val="20"/>
              </w:rPr>
              <w:t>istricts risk profiles to ensure risk management plans are effectively delivered.</w:t>
            </w:r>
          </w:p>
          <w:p w14:paraId="220C87DD" w14:textId="3768B6F7" w:rsidR="008D73AC" w:rsidRPr="004D71B2" w:rsidRDefault="008D73AC" w:rsidP="00385576">
            <w:pPr>
              <w:pStyle w:val="ListParagraph"/>
              <w:numPr>
                <w:ilvl w:val="0"/>
                <w:numId w:val="3"/>
              </w:numPr>
              <w:rPr>
                <w:sz w:val="20"/>
                <w:szCs w:val="20"/>
              </w:rPr>
            </w:pPr>
            <w:r w:rsidRPr="004D71B2">
              <w:rPr>
                <w:sz w:val="20"/>
                <w:szCs w:val="20"/>
              </w:rPr>
              <w:t>The Training and Development framework defines how the organisation</w:t>
            </w:r>
            <w:r w:rsidR="00E41A64">
              <w:rPr>
                <w:sz w:val="20"/>
                <w:szCs w:val="20"/>
              </w:rPr>
              <w:t xml:space="preserve"> aims to</w:t>
            </w:r>
            <w:r w:rsidRPr="004D71B2">
              <w:rPr>
                <w:sz w:val="20"/>
                <w:szCs w:val="20"/>
              </w:rPr>
              <w:t xml:space="preserve"> achieve </w:t>
            </w:r>
            <w:r w:rsidR="003C7D9F" w:rsidRPr="004D71B2">
              <w:rPr>
                <w:sz w:val="20"/>
                <w:szCs w:val="20"/>
              </w:rPr>
              <w:t xml:space="preserve">a clear link between training, competence, and operational effectiveness. </w:t>
            </w:r>
          </w:p>
          <w:p w14:paraId="7C8C2A07" w14:textId="77777777" w:rsidR="00385576" w:rsidRPr="004D71B2" w:rsidRDefault="00385576" w:rsidP="00A62027">
            <w:pPr>
              <w:pStyle w:val="ListParagraph"/>
              <w:numPr>
                <w:ilvl w:val="0"/>
                <w:numId w:val="3"/>
              </w:numPr>
              <w:rPr>
                <w:sz w:val="20"/>
                <w:szCs w:val="20"/>
              </w:rPr>
            </w:pPr>
            <w:r w:rsidRPr="004D71B2">
              <w:rPr>
                <w:sz w:val="20"/>
                <w:szCs w:val="20"/>
              </w:rPr>
              <w:t>We constantly review and adapt to changing operational training requirements, in line with</w:t>
            </w:r>
            <w:r w:rsidR="00A62027" w:rsidRPr="004D71B2">
              <w:rPr>
                <w:sz w:val="20"/>
                <w:szCs w:val="20"/>
              </w:rPr>
              <w:t xml:space="preserve"> legislation and</w:t>
            </w:r>
            <w:r w:rsidRPr="004D71B2">
              <w:rPr>
                <w:sz w:val="20"/>
                <w:szCs w:val="20"/>
              </w:rPr>
              <w:t xml:space="preserve"> National Operational Guidance (NOG).</w:t>
            </w:r>
          </w:p>
          <w:p w14:paraId="6C44CC3C" w14:textId="422E6C7C" w:rsidR="00A62027" w:rsidRPr="004D71B2" w:rsidRDefault="00A62027" w:rsidP="00A62027">
            <w:pPr>
              <w:pStyle w:val="ListParagraph"/>
              <w:numPr>
                <w:ilvl w:val="0"/>
                <w:numId w:val="3"/>
              </w:numPr>
              <w:rPr>
                <w:sz w:val="20"/>
                <w:szCs w:val="20"/>
              </w:rPr>
            </w:pPr>
            <w:r w:rsidRPr="004D71B2">
              <w:rPr>
                <w:sz w:val="20"/>
                <w:szCs w:val="20"/>
              </w:rPr>
              <w:t>We work within the approved financial strategy</w:t>
            </w:r>
            <w:r w:rsidR="003E54A2" w:rsidRPr="004D71B2">
              <w:rPr>
                <w:sz w:val="20"/>
                <w:szCs w:val="20"/>
              </w:rPr>
              <w:t>, budget constraints</w:t>
            </w:r>
            <w:r w:rsidRPr="004D71B2">
              <w:rPr>
                <w:sz w:val="20"/>
                <w:szCs w:val="20"/>
              </w:rPr>
              <w:t xml:space="preserve"> and considering the WYFRS portfolio of change and priorities.</w:t>
            </w:r>
          </w:p>
          <w:p w14:paraId="13BAA8D7" w14:textId="26E74643" w:rsidR="00A3099B" w:rsidRPr="004D71B2" w:rsidRDefault="00A3099B" w:rsidP="00A62027">
            <w:pPr>
              <w:pStyle w:val="ListParagraph"/>
              <w:numPr>
                <w:ilvl w:val="0"/>
                <w:numId w:val="3"/>
              </w:numPr>
              <w:rPr>
                <w:sz w:val="20"/>
                <w:szCs w:val="20"/>
              </w:rPr>
            </w:pPr>
            <w:r w:rsidRPr="004D71B2">
              <w:rPr>
                <w:sz w:val="20"/>
                <w:szCs w:val="20"/>
              </w:rPr>
              <w:t>Due to operational staff being the source of training resources there are challenges in maintaining staffing levels.</w:t>
            </w:r>
          </w:p>
          <w:p w14:paraId="43C96B1A" w14:textId="7F43C8F1" w:rsidR="006848B9" w:rsidRPr="004D71B2" w:rsidRDefault="006848B9" w:rsidP="00A62027">
            <w:pPr>
              <w:pStyle w:val="ListParagraph"/>
              <w:numPr>
                <w:ilvl w:val="0"/>
                <w:numId w:val="3"/>
              </w:numPr>
              <w:rPr>
                <w:sz w:val="20"/>
                <w:szCs w:val="20"/>
              </w:rPr>
            </w:pPr>
            <w:r w:rsidRPr="004D71B2">
              <w:rPr>
                <w:sz w:val="20"/>
                <w:szCs w:val="20"/>
              </w:rPr>
              <w:t xml:space="preserve">Reducing operational exposure due to preventative strategies </w:t>
            </w:r>
            <w:r w:rsidR="0047665F">
              <w:rPr>
                <w:sz w:val="20"/>
                <w:szCs w:val="20"/>
              </w:rPr>
              <w:t xml:space="preserve">and </w:t>
            </w:r>
            <w:r w:rsidRPr="004D71B2">
              <w:rPr>
                <w:sz w:val="20"/>
                <w:szCs w:val="20"/>
              </w:rPr>
              <w:t>decreasing incidents results in the need for training to fill this gap.</w:t>
            </w:r>
          </w:p>
        </w:tc>
      </w:tr>
      <w:tr w:rsidR="00E729FD" w14:paraId="083B6B3D" w14:textId="77777777" w:rsidTr="004D71B2">
        <w:tc>
          <w:tcPr>
            <w:tcW w:w="2269" w:type="dxa"/>
          </w:tcPr>
          <w:p w14:paraId="52D0D5BC" w14:textId="33B7E245" w:rsidR="00E729FD" w:rsidRPr="004D71B2" w:rsidRDefault="00E729FD" w:rsidP="00E729FD">
            <w:pPr>
              <w:rPr>
                <w:color w:val="BFBFBF" w:themeColor="background1" w:themeShade="BF"/>
                <w:sz w:val="20"/>
                <w:szCs w:val="20"/>
              </w:rPr>
            </w:pPr>
            <w:r w:rsidRPr="004D71B2">
              <w:rPr>
                <w:sz w:val="20"/>
                <w:szCs w:val="20"/>
              </w:rPr>
              <w:t>Strategic drivers</w:t>
            </w:r>
            <w:r w:rsidRPr="004D71B2">
              <w:rPr>
                <w:color w:val="BFBFBF" w:themeColor="background1" w:themeShade="BF"/>
                <w:sz w:val="20"/>
                <w:szCs w:val="20"/>
              </w:rPr>
              <w:t xml:space="preserve"> </w:t>
            </w:r>
          </w:p>
          <w:p w14:paraId="5B81E548" w14:textId="1367B5B3" w:rsidR="00E729FD" w:rsidRPr="004D71B2" w:rsidRDefault="00E729FD" w:rsidP="004D71B2">
            <w:pPr>
              <w:rPr>
                <w:sz w:val="20"/>
                <w:szCs w:val="20"/>
              </w:rPr>
            </w:pPr>
          </w:p>
        </w:tc>
        <w:tc>
          <w:tcPr>
            <w:tcW w:w="13750" w:type="dxa"/>
            <w:gridSpan w:val="2"/>
          </w:tcPr>
          <w:p w14:paraId="37FCCCF5" w14:textId="77777777" w:rsidR="00BC13F3" w:rsidRPr="004D71B2" w:rsidRDefault="0056705B" w:rsidP="0056705B">
            <w:pPr>
              <w:pStyle w:val="ListParagraph"/>
              <w:numPr>
                <w:ilvl w:val="0"/>
                <w:numId w:val="4"/>
              </w:numPr>
              <w:rPr>
                <w:sz w:val="20"/>
                <w:szCs w:val="20"/>
              </w:rPr>
            </w:pPr>
            <w:r w:rsidRPr="004D71B2">
              <w:rPr>
                <w:sz w:val="20"/>
                <w:szCs w:val="20"/>
              </w:rPr>
              <w:t xml:space="preserve">2020 has been a challenging year and the impact of COVID-19 has affected us all, for Training it has meant that we have had to completely revise what we do and how we do it. </w:t>
            </w:r>
          </w:p>
          <w:p w14:paraId="246A2359" w14:textId="77777777" w:rsidR="00BC13F3" w:rsidRPr="004D71B2" w:rsidRDefault="0056705B" w:rsidP="0056705B">
            <w:pPr>
              <w:pStyle w:val="ListParagraph"/>
              <w:numPr>
                <w:ilvl w:val="0"/>
                <w:numId w:val="4"/>
              </w:numPr>
              <w:rPr>
                <w:sz w:val="20"/>
                <w:szCs w:val="20"/>
              </w:rPr>
            </w:pPr>
            <w:r w:rsidRPr="004D71B2">
              <w:rPr>
                <w:sz w:val="20"/>
                <w:szCs w:val="20"/>
              </w:rPr>
              <w:t xml:space="preserve">In doing this we believe we have learnt a great deal and through evaluation and engagement with staff we have adapted our training provision to be more resilient now and, in the future. </w:t>
            </w:r>
          </w:p>
          <w:p w14:paraId="2145EC26" w14:textId="4EA1E37A" w:rsidR="001F021C" w:rsidRPr="004D71B2" w:rsidRDefault="006848B9" w:rsidP="00A3099B">
            <w:pPr>
              <w:pStyle w:val="ListParagraph"/>
              <w:numPr>
                <w:ilvl w:val="0"/>
                <w:numId w:val="4"/>
              </w:numPr>
              <w:rPr>
                <w:sz w:val="20"/>
                <w:szCs w:val="20"/>
              </w:rPr>
            </w:pPr>
            <w:r w:rsidRPr="004D71B2">
              <w:rPr>
                <w:sz w:val="20"/>
                <w:szCs w:val="20"/>
              </w:rPr>
              <w:t>Training will</w:t>
            </w:r>
            <w:r w:rsidR="00A3099B" w:rsidRPr="004D71B2">
              <w:rPr>
                <w:sz w:val="20"/>
                <w:szCs w:val="20"/>
              </w:rPr>
              <w:t xml:space="preserve"> </w:t>
            </w:r>
            <w:r w:rsidR="0047665F">
              <w:rPr>
                <w:sz w:val="20"/>
                <w:szCs w:val="20"/>
              </w:rPr>
              <w:t xml:space="preserve">blend the requirement for assessment with </w:t>
            </w:r>
            <w:r w:rsidR="00A3099B" w:rsidRPr="004D71B2">
              <w:rPr>
                <w:sz w:val="20"/>
                <w:szCs w:val="20"/>
              </w:rPr>
              <w:t xml:space="preserve">experiential learning tailored to the </w:t>
            </w:r>
            <w:r w:rsidRPr="004D71B2">
              <w:rPr>
                <w:sz w:val="20"/>
                <w:szCs w:val="20"/>
              </w:rPr>
              <w:t>individual’s</w:t>
            </w:r>
            <w:r w:rsidR="00A3099B" w:rsidRPr="004D71B2">
              <w:rPr>
                <w:sz w:val="20"/>
                <w:szCs w:val="20"/>
              </w:rPr>
              <w:t xml:space="preserve"> needs.</w:t>
            </w:r>
          </w:p>
        </w:tc>
      </w:tr>
      <w:tr w:rsidR="00E729FD" w14:paraId="48A6233D" w14:textId="77777777" w:rsidTr="004D71B2">
        <w:tc>
          <w:tcPr>
            <w:tcW w:w="2269" w:type="dxa"/>
          </w:tcPr>
          <w:p w14:paraId="6EA286C5" w14:textId="6A934797" w:rsidR="00E729FD" w:rsidRPr="004D71B2" w:rsidRDefault="00E729FD" w:rsidP="00E729FD">
            <w:pPr>
              <w:rPr>
                <w:sz w:val="20"/>
                <w:szCs w:val="20"/>
              </w:rPr>
            </w:pPr>
            <w:r w:rsidRPr="004D71B2">
              <w:rPr>
                <w:sz w:val="20"/>
                <w:szCs w:val="20"/>
              </w:rPr>
              <w:t xml:space="preserve">Defining the </w:t>
            </w:r>
            <w:r w:rsidR="00D00D60" w:rsidRPr="004D71B2">
              <w:rPr>
                <w:sz w:val="20"/>
                <w:szCs w:val="20"/>
              </w:rPr>
              <w:t>requirement</w:t>
            </w:r>
          </w:p>
          <w:p w14:paraId="1C754054" w14:textId="3597EBA4" w:rsidR="00E729FD" w:rsidRPr="004D71B2" w:rsidRDefault="00E729FD" w:rsidP="00E729FD">
            <w:pPr>
              <w:rPr>
                <w:sz w:val="20"/>
                <w:szCs w:val="20"/>
              </w:rPr>
            </w:pPr>
          </w:p>
        </w:tc>
        <w:tc>
          <w:tcPr>
            <w:tcW w:w="13750" w:type="dxa"/>
            <w:gridSpan w:val="2"/>
          </w:tcPr>
          <w:p w14:paraId="4F3D998F" w14:textId="15340164" w:rsidR="00A62027" w:rsidRPr="004D71B2" w:rsidRDefault="00A62027" w:rsidP="00A62027">
            <w:pPr>
              <w:pStyle w:val="ListParagraph"/>
              <w:numPr>
                <w:ilvl w:val="0"/>
                <w:numId w:val="4"/>
              </w:numPr>
              <w:rPr>
                <w:sz w:val="20"/>
                <w:szCs w:val="20"/>
              </w:rPr>
            </w:pPr>
            <w:r w:rsidRPr="004D71B2">
              <w:rPr>
                <w:sz w:val="20"/>
                <w:szCs w:val="20"/>
              </w:rPr>
              <w:t>The Training Delivery departments will develop plans aligned with this Strategy which outline how they will deliver training and assess safety critical elements,</w:t>
            </w:r>
          </w:p>
          <w:p w14:paraId="4934587F" w14:textId="0174BFB1" w:rsidR="00A112D8" w:rsidRPr="004D71B2" w:rsidRDefault="00A112D8" w:rsidP="00A62027">
            <w:pPr>
              <w:pStyle w:val="ListParagraph"/>
              <w:numPr>
                <w:ilvl w:val="0"/>
                <w:numId w:val="4"/>
              </w:numPr>
              <w:rPr>
                <w:sz w:val="20"/>
                <w:szCs w:val="20"/>
              </w:rPr>
            </w:pPr>
            <w:r w:rsidRPr="004D71B2">
              <w:rPr>
                <w:sz w:val="20"/>
                <w:szCs w:val="20"/>
              </w:rPr>
              <w:t xml:space="preserve">The Training and Development framework </w:t>
            </w:r>
            <w:r w:rsidR="00197353" w:rsidRPr="004D71B2">
              <w:rPr>
                <w:sz w:val="20"/>
                <w:szCs w:val="20"/>
              </w:rPr>
              <w:t>defines</w:t>
            </w:r>
            <w:r w:rsidRPr="004D71B2">
              <w:rPr>
                <w:sz w:val="20"/>
                <w:szCs w:val="20"/>
              </w:rPr>
              <w:t xml:space="preserve"> how the organisation achieves and maintains competency.</w:t>
            </w:r>
          </w:p>
          <w:p w14:paraId="7B6CEA2D" w14:textId="512B7C42" w:rsidR="009B6A9F" w:rsidRPr="004D71B2" w:rsidRDefault="009B6A9F" w:rsidP="00A62027">
            <w:pPr>
              <w:pStyle w:val="ListParagraph"/>
              <w:numPr>
                <w:ilvl w:val="0"/>
                <w:numId w:val="4"/>
              </w:numPr>
              <w:rPr>
                <w:sz w:val="20"/>
                <w:szCs w:val="20"/>
              </w:rPr>
            </w:pPr>
            <w:r w:rsidRPr="004D71B2">
              <w:rPr>
                <w:sz w:val="20"/>
                <w:szCs w:val="20"/>
              </w:rPr>
              <w:t xml:space="preserve">A competency dashboard </w:t>
            </w:r>
            <w:r w:rsidR="0047665F">
              <w:rPr>
                <w:sz w:val="20"/>
                <w:szCs w:val="20"/>
              </w:rPr>
              <w:t xml:space="preserve">and </w:t>
            </w:r>
            <w:r w:rsidR="00C1213A">
              <w:rPr>
                <w:sz w:val="20"/>
                <w:szCs w:val="20"/>
              </w:rPr>
              <w:t>recording systems</w:t>
            </w:r>
            <w:r w:rsidR="0047665F">
              <w:rPr>
                <w:sz w:val="20"/>
                <w:szCs w:val="20"/>
              </w:rPr>
              <w:t xml:space="preserve"> </w:t>
            </w:r>
            <w:r w:rsidRPr="004D71B2">
              <w:rPr>
                <w:sz w:val="20"/>
                <w:szCs w:val="20"/>
              </w:rPr>
              <w:t xml:space="preserve">will be used by all operational staff to record training and learning required to maintain their core skills and competencies. </w:t>
            </w:r>
          </w:p>
          <w:p w14:paraId="21AD1FB3" w14:textId="77777777" w:rsidR="0025710E" w:rsidRPr="004D71B2" w:rsidRDefault="009B6A9F" w:rsidP="00A62027">
            <w:pPr>
              <w:pStyle w:val="ListParagraph"/>
              <w:numPr>
                <w:ilvl w:val="0"/>
                <w:numId w:val="4"/>
              </w:numPr>
              <w:rPr>
                <w:sz w:val="20"/>
                <w:szCs w:val="20"/>
              </w:rPr>
            </w:pPr>
            <w:r w:rsidRPr="004D71B2">
              <w:rPr>
                <w:sz w:val="20"/>
                <w:szCs w:val="20"/>
              </w:rPr>
              <w:t>T</w:t>
            </w:r>
            <w:r w:rsidR="00F529C6" w:rsidRPr="004D71B2">
              <w:rPr>
                <w:sz w:val="20"/>
                <w:szCs w:val="20"/>
              </w:rPr>
              <w:t>o support our staff and to adhere to our legislative duties we will ensure that training is equally accessible to all staff through equality analysis, reasonable adjustment, and continuous evaluation of our full suite of training provision.</w:t>
            </w:r>
          </w:p>
          <w:p w14:paraId="59318C17" w14:textId="6F1C3832" w:rsidR="007F7352" w:rsidRPr="004D71B2" w:rsidRDefault="003A5304" w:rsidP="00A62027">
            <w:pPr>
              <w:pStyle w:val="ListParagraph"/>
              <w:numPr>
                <w:ilvl w:val="0"/>
                <w:numId w:val="4"/>
              </w:numPr>
              <w:rPr>
                <w:sz w:val="20"/>
                <w:szCs w:val="20"/>
              </w:rPr>
            </w:pPr>
            <w:r w:rsidRPr="004D71B2">
              <w:rPr>
                <w:sz w:val="20"/>
                <w:szCs w:val="20"/>
              </w:rPr>
              <w:t>As we move forward the</w:t>
            </w:r>
            <w:r w:rsidR="006848B9" w:rsidRPr="004D71B2">
              <w:rPr>
                <w:sz w:val="20"/>
                <w:szCs w:val="20"/>
              </w:rPr>
              <w:t xml:space="preserve"> training instructors </w:t>
            </w:r>
            <w:r w:rsidRPr="004D71B2">
              <w:rPr>
                <w:sz w:val="20"/>
                <w:szCs w:val="20"/>
              </w:rPr>
              <w:t xml:space="preserve">will be working with increased flexibility to </w:t>
            </w:r>
            <w:r w:rsidR="006848B9" w:rsidRPr="004D71B2">
              <w:rPr>
                <w:sz w:val="20"/>
                <w:szCs w:val="20"/>
              </w:rPr>
              <w:t>enhance efficiency and resource requirement for delivery.</w:t>
            </w:r>
          </w:p>
        </w:tc>
      </w:tr>
      <w:tr w:rsidR="00E729FD" w14:paraId="4834A608" w14:textId="77777777" w:rsidTr="004D71B2">
        <w:trPr>
          <w:trHeight w:val="1364"/>
        </w:trPr>
        <w:tc>
          <w:tcPr>
            <w:tcW w:w="2269" w:type="dxa"/>
          </w:tcPr>
          <w:p w14:paraId="3FC2DBD1" w14:textId="099E5CDB" w:rsidR="00E729FD" w:rsidRPr="004D71B2" w:rsidRDefault="00E729FD" w:rsidP="00E729FD">
            <w:pPr>
              <w:rPr>
                <w:sz w:val="20"/>
                <w:szCs w:val="20"/>
              </w:rPr>
            </w:pPr>
            <w:r w:rsidRPr="004D71B2">
              <w:rPr>
                <w:sz w:val="20"/>
                <w:szCs w:val="20"/>
              </w:rPr>
              <w:t>Strategic performance measures</w:t>
            </w:r>
          </w:p>
          <w:p w14:paraId="57A9B55E" w14:textId="77777777" w:rsidR="00E729FD" w:rsidRPr="004D71B2" w:rsidRDefault="00E729FD" w:rsidP="00E729FD">
            <w:pPr>
              <w:rPr>
                <w:sz w:val="20"/>
                <w:szCs w:val="20"/>
              </w:rPr>
            </w:pPr>
          </w:p>
          <w:p w14:paraId="2DCF669E" w14:textId="3177B00D" w:rsidR="00E729FD" w:rsidRPr="004D71B2" w:rsidRDefault="00E729FD" w:rsidP="00E729FD">
            <w:pPr>
              <w:rPr>
                <w:sz w:val="20"/>
                <w:szCs w:val="20"/>
              </w:rPr>
            </w:pPr>
          </w:p>
        </w:tc>
        <w:tc>
          <w:tcPr>
            <w:tcW w:w="13750" w:type="dxa"/>
            <w:gridSpan w:val="2"/>
          </w:tcPr>
          <w:p w14:paraId="7AAD04F9" w14:textId="0A8188EC" w:rsidR="00E729FD" w:rsidRPr="004D71B2" w:rsidRDefault="003E54A2" w:rsidP="003E54A2">
            <w:pPr>
              <w:pStyle w:val="ListParagraph"/>
              <w:numPr>
                <w:ilvl w:val="0"/>
                <w:numId w:val="5"/>
              </w:numPr>
              <w:rPr>
                <w:sz w:val="20"/>
                <w:szCs w:val="20"/>
              </w:rPr>
            </w:pPr>
            <w:r w:rsidRPr="004D71B2">
              <w:rPr>
                <w:sz w:val="20"/>
                <w:szCs w:val="20"/>
              </w:rPr>
              <w:t xml:space="preserve">A periodic audit of the recording systems will be carried out and performance levels will be reported </w:t>
            </w:r>
            <w:r w:rsidR="007720E0" w:rsidRPr="004D71B2">
              <w:rPr>
                <w:sz w:val="20"/>
                <w:szCs w:val="20"/>
              </w:rPr>
              <w:t>into the Operational Training Interface Group and from there to Senior Operations Team.</w:t>
            </w:r>
          </w:p>
          <w:p w14:paraId="27AC1A41" w14:textId="7F2623FD" w:rsidR="005D728B" w:rsidRPr="004D71B2" w:rsidRDefault="00566DEB" w:rsidP="00A3099B">
            <w:pPr>
              <w:pStyle w:val="ListParagraph"/>
              <w:numPr>
                <w:ilvl w:val="0"/>
                <w:numId w:val="5"/>
              </w:numPr>
              <w:rPr>
                <w:sz w:val="20"/>
                <w:szCs w:val="20"/>
              </w:rPr>
            </w:pPr>
            <w:r w:rsidRPr="004D71B2">
              <w:rPr>
                <w:sz w:val="20"/>
                <w:szCs w:val="20"/>
              </w:rPr>
              <w:t xml:space="preserve">Kirklees internal audit </w:t>
            </w:r>
            <w:r w:rsidR="001E5C7C" w:rsidRPr="004D71B2">
              <w:rPr>
                <w:sz w:val="20"/>
                <w:szCs w:val="20"/>
              </w:rPr>
              <w:t xml:space="preserve">process </w:t>
            </w:r>
            <w:r w:rsidR="009346C0" w:rsidRPr="004D71B2">
              <w:rPr>
                <w:sz w:val="20"/>
                <w:szCs w:val="20"/>
              </w:rPr>
              <w:t xml:space="preserve">will include assessment of </w:t>
            </w:r>
            <w:r w:rsidR="004D3598" w:rsidRPr="004D71B2">
              <w:rPr>
                <w:sz w:val="20"/>
                <w:szCs w:val="20"/>
              </w:rPr>
              <w:t>training outputs and outcomes.</w:t>
            </w:r>
          </w:p>
          <w:p w14:paraId="753FAAA0" w14:textId="5191F1B8" w:rsidR="002E23F4" w:rsidRPr="004D71B2" w:rsidRDefault="00B87F66" w:rsidP="00A3099B">
            <w:pPr>
              <w:pStyle w:val="ListParagraph"/>
              <w:numPr>
                <w:ilvl w:val="0"/>
                <w:numId w:val="5"/>
              </w:numPr>
              <w:rPr>
                <w:sz w:val="20"/>
                <w:szCs w:val="20"/>
              </w:rPr>
            </w:pPr>
            <w:r w:rsidRPr="004D71B2">
              <w:rPr>
                <w:sz w:val="20"/>
                <w:szCs w:val="20"/>
              </w:rPr>
              <w:t>HMICFRS assessment and evidence gathering will require assurance that training is being delivery effectively.</w:t>
            </w:r>
          </w:p>
          <w:p w14:paraId="090C3BE3" w14:textId="134B8F47" w:rsidR="008806FF" w:rsidRPr="004D71B2" w:rsidRDefault="009963E1" w:rsidP="00A3099B">
            <w:pPr>
              <w:pStyle w:val="ListParagraph"/>
              <w:numPr>
                <w:ilvl w:val="0"/>
                <w:numId w:val="5"/>
              </w:numPr>
              <w:rPr>
                <w:sz w:val="20"/>
                <w:szCs w:val="20"/>
              </w:rPr>
            </w:pPr>
            <w:r w:rsidRPr="004D71B2">
              <w:rPr>
                <w:sz w:val="20"/>
                <w:szCs w:val="20"/>
              </w:rPr>
              <w:t>Departmental a</w:t>
            </w:r>
            <w:r w:rsidR="008806FF" w:rsidRPr="004D71B2">
              <w:rPr>
                <w:sz w:val="20"/>
                <w:szCs w:val="20"/>
              </w:rPr>
              <w:t>ction plan</w:t>
            </w:r>
            <w:r w:rsidRPr="004D71B2">
              <w:rPr>
                <w:sz w:val="20"/>
                <w:szCs w:val="20"/>
              </w:rPr>
              <w:t xml:space="preserve">s will be </w:t>
            </w:r>
            <w:r w:rsidR="00106FB4" w:rsidRPr="004D71B2">
              <w:rPr>
                <w:sz w:val="20"/>
                <w:szCs w:val="20"/>
              </w:rPr>
              <w:t>reviewed monthly and progress monitored.</w:t>
            </w:r>
          </w:p>
          <w:p w14:paraId="08A080A3" w14:textId="33F9DA66" w:rsidR="00A3099B" w:rsidRPr="004D71B2" w:rsidRDefault="00025DA3" w:rsidP="002E23F4">
            <w:pPr>
              <w:pStyle w:val="ListParagraph"/>
              <w:numPr>
                <w:ilvl w:val="0"/>
                <w:numId w:val="5"/>
              </w:numPr>
              <w:rPr>
                <w:sz w:val="20"/>
                <w:szCs w:val="20"/>
              </w:rPr>
            </w:pPr>
            <w:r>
              <w:rPr>
                <w:sz w:val="20"/>
                <w:szCs w:val="20"/>
              </w:rPr>
              <w:t>The T&amp;D Framework includes f</w:t>
            </w:r>
            <w:r w:rsidR="008806FF" w:rsidRPr="004D71B2">
              <w:rPr>
                <w:sz w:val="20"/>
                <w:szCs w:val="20"/>
              </w:rPr>
              <w:t>eedback mechanisms</w:t>
            </w:r>
            <w:r w:rsidR="00266291" w:rsidRPr="004D71B2">
              <w:rPr>
                <w:sz w:val="20"/>
                <w:szCs w:val="20"/>
              </w:rPr>
              <w:t xml:space="preserve"> </w:t>
            </w:r>
            <w:r>
              <w:rPr>
                <w:sz w:val="20"/>
                <w:szCs w:val="20"/>
              </w:rPr>
              <w:t xml:space="preserve">from operational response to assure </w:t>
            </w:r>
            <w:r w:rsidR="00431051" w:rsidRPr="004D71B2">
              <w:rPr>
                <w:sz w:val="20"/>
                <w:szCs w:val="20"/>
              </w:rPr>
              <w:t>the effectiveness of this strategy.</w:t>
            </w:r>
          </w:p>
        </w:tc>
      </w:tr>
    </w:tbl>
    <w:p w14:paraId="6C46099D" w14:textId="74836B79" w:rsidR="00C65D83" w:rsidRDefault="00C65D83"/>
    <w:sectPr w:rsidR="00C65D83" w:rsidSect="000D5534">
      <w:pgSz w:w="16838" w:h="11906" w:orient="landscape"/>
      <w:pgMar w:top="568"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9F004" w14:textId="77777777" w:rsidR="0068756B" w:rsidRDefault="0068756B" w:rsidP="00B736FB">
      <w:pPr>
        <w:spacing w:after="0" w:line="240" w:lineRule="auto"/>
      </w:pPr>
      <w:r>
        <w:separator/>
      </w:r>
    </w:p>
  </w:endnote>
  <w:endnote w:type="continuationSeparator" w:id="0">
    <w:p w14:paraId="7E8FCFBE" w14:textId="77777777" w:rsidR="0068756B" w:rsidRDefault="0068756B" w:rsidP="00B73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8B649" w14:textId="77777777" w:rsidR="0068756B" w:rsidRDefault="0068756B" w:rsidP="00B736FB">
      <w:pPr>
        <w:spacing w:after="0" w:line="240" w:lineRule="auto"/>
      </w:pPr>
      <w:r>
        <w:separator/>
      </w:r>
    </w:p>
  </w:footnote>
  <w:footnote w:type="continuationSeparator" w:id="0">
    <w:p w14:paraId="6461B380" w14:textId="77777777" w:rsidR="0068756B" w:rsidRDefault="0068756B" w:rsidP="00B73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98F1" w14:textId="773BDB85" w:rsidR="00B736FB" w:rsidRDefault="00B736FB">
    <w:pPr>
      <w:pStyle w:val="Header"/>
    </w:pPr>
    <w:r>
      <w:rPr>
        <w:noProof/>
        <w:lang w:eastAsia="en-GB"/>
      </w:rPr>
      <w:drawing>
        <wp:anchor distT="0" distB="0" distL="114300" distR="114300" simplePos="0" relativeHeight="251659264" behindDoc="0" locked="1" layoutInCell="1" allowOverlap="1" wp14:anchorId="2DDA19B3" wp14:editId="0DC63F9A">
          <wp:simplePos x="0" y="0"/>
          <wp:positionH relativeFrom="margin">
            <wp:align>right</wp:align>
          </wp:positionH>
          <wp:positionV relativeFrom="page">
            <wp:posOffset>233045</wp:posOffset>
          </wp:positionV>
          <wp:extent cx="1940560" cy="525780"/>
          <wp:effectExtent l="0" t="0" r="2540" b="7620"/>
          <wp:wrapTopAndBottom/>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1940560" cy="525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91C3B"/>
    <w:multiLevelType w:val="hybridMultilevel"/>
    <w:tmpl w:val="69A6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0338AE"/>
    <w:multiLevelType w:val="hybridMultilevel"/>
    <w:tmpl w:val="4CE0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6A0FAE"/>
    <w:multiLevelType w:val="hybridMultilevel"/>
    <w:tmpl w:val="7CF67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86E9E"/>
    <w:multiLevelType w:val="hybridMultilevel"/>
    <w:tmpl w:val="77A2E7DC"/>
    <w:lvl w:ilvl="0" w:tplc="009A6B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78367A"/>
    <w:multiLevelType w:val="hybridMultilevel"/>
    <w:tmpl w:val="2854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7020AF"/>
    <w:multiLevelType w:val="hybridMultilevel"/>
    <w:tmpl w:val="0AACA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A5307"/>
    <w:multiLevelType w:val="hybridMultilevel"/>
    <w:tmpl w:val="F98AD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167C39"/>
    <w:multiLevelType w:val="hybridMultilevel"/>
    <w:tmpl w:val="AA425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AF193C"/>
    <w:multiLevelType w:val="hybridMultilevel"/>
    <w:tmpl w:val="8FE2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55691A"/>
    <w:multiLevelType w:val="hybridMultilevel"/>
    <w:tmpl w:val="8A347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F6647FB"/>
    <w:multiLevelType w:val="hybridMultilevel"/>
    <w:tmpl w:val="3E40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9014193">
    <w:abstractNumId w:val="3"/>
  </w:num>
  <w:num w:numId="2" w16cid:durableId="1874028283">
    <w:abstractNumId w:val="4"/>
  </w:num>
  <w:num w:numId="3" w16cid:durableId="1588928349">
    <w:abstractNumId w:val="5"/>
  </w:num>
  <w:num w:numId="4" w16cid:durableId="675226761">
    <w:abstractNumId w:val="7"/>
  </w:num>
  <w:num w:numId="5" w16cid:durableId="353118560">
    <w:abstractNumId w:val="8"/>
  </w:num>
  <w:num w:numId="6" w16cid:durableId="180974423">
    <w:abstractNumId w:val="2"/>
  </w:num>
  <w:num w:numId="7" w16cid:durableId="139352329">
    <w:abstractNumId w:val="10"/>
  </w:num>
  <w:num w:numId="8" w16cid:durableId="565802718">
    <w:abstractNumId w:val="6"/>
  </w:num>
  <w:num w:numId="9" w16cid:durableId="948121338">
    <w:abstractNumId w:val="0"/>
  </w:num>
  <w:num w:numId="10" w16cid:durableId="1474248249">
    <w:abstractNumId w:val="1"/>
  </w:num>
  <w:num w:numId="11" w16cid:durableId="6712226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92"/>
    <w:rsid w:val="000063E6"/>
    <w:rsid w:val="000107FB"/>
    <w:rsid w:val="00013DB5"/>
    <w:rsid w:val="00025DA3"/>
    <w:rsid w:val="00030282"/>
    <w:rsid w:val="000374A9"/>
    <w:rsid w:val="000443D9"/>
    <w:rsid w:val="00045848"/>
    <w:rsid w:val="00050A4E"/>
    <w:rsid w:val="00054B4C"/>
    <w:rsid w:val="00056C22"/>
    <w:rsid w:val="00067ADD"/>
    <w:rsid w:val="00071B37"/>
    <w:rsid w:val="0007787D"/>
    <w:rsid w:val="000A2CAA"/>
    <w:rsid w:val="000A6D51"/>
    <w:rsid w:val="000A7C9B"/>
    <w:rsid w:val="000D3A92"/>
    <w:rsid w:val="000D5534"/>
    <w:rsid w:val="000F26BC"/>
    <w:rsid w:val="000F3E0D"/>
    <w:rsid w:val="000F4707"/>
    <w:rsid w:val="000F5793"/>
    <w:rsid w:val="000F78D3"/>
    <w:rsid w:val="0010499E"/>
    <w:rsid w:val="00106214"/>
    <w:rsid w:val="00106FB4"/>
    <w:rsid w:val="0011299F"/>
    <w:rsid w:val="00143FE3"/>
    <w:rsid w:val="00153D45"/>
    <w:rsid w:val="00184954"/>
    <w:rsid w:val="00190133"/>
    <w:rsid w:val="00193F85"/>
    <w:rsid w:val="00197353"/>
    <w:rsid w:val="001A19BA"/>
    <w:rsid w:val="001A7448"/>
    <w:rsid w:val="001B12C8"/>
    <w:rsid w:val="001B71A9"/>
    <w:rsid w:val="001C5233"/>
    <w:rsid w:val="001D1183"/>
    <w:rsid w:val="001D3A99"/>
    <w:rsid w:val="001D48BE"/>
    <w:rsid w:val="001D671B"/>
    <w:rsid w:val="001E5C7C"/>
    <w:rsid w:val="001E64EB"/>
    <w:rsid w:val="001F021C"/>
    <w:rsid w:val="00205898"/>
    <w:rsid w:val="00210532"/>
    <w:rsid w:val="00220EBE"/>
    <w:rsid w:val="0022762F"/>
    <w:rsid w:val="00252048"/>
    <w:rsid w:val="00253B8F"/>
    <w:rsid w:val="002557A3"/>
    <w:rsid w:val="0025710E"/>
    <w:rsid w:val="00266291"/>
    <w:rsid w:val="002667C5"/>
    <w:rsid w:val="00274859"/>
    <w:rsid w:val="0028005B"/>
    <w:rsid w:val="00283258"/>
    <w:rsid w:val="002A3851"/>
    <w:rsid w:val="002C3CFB"/>
    <w:rsid w:val="002C4060"/>
    <w:rsid w:val="002D2188"/>
    <w:rsid w:val="002D2D1A"/>
    <w:rsid w:val="002D50D2"/>
    <w:rsid w:val="002E23F4"/>
    <w:rsid w:val="003001F7"/>
    <w:rsid w:val="00314AB2"/>
    <w:rsid w:val="0032183A"/>
    <w:rsid w:val="00333CC4"/>
    <w:rsid w:val="00335C93"/>
    <w:rsid w:val="003426C0"/>
    <w:rsid w:val="0034564C"/>
    <w:rsid w:val="00351E2D"/>
    <w:rsid w:val="00366624"/>
    <w:rsid w:val="00371AD0"/>
    <w:rsid w:val="00380AB4"/>
    <w:rsid w:val="00385576"/>
    <w:rsid w:val="003859F3"/>
    <w:rsid w:val="00391BF4"/>
    <w:rsid w:val="00392661"/>
    <w:rsid w:val="003968B2"/>
    <w:rsid w:val="00396DA1"/>
    <w:rsid w:val="003A3D8A"/>
    <w:rsid w:val="003A5304"/>
    <w:rsid w:val="003C7D9F"/>
    <w:rsid w:val="003D2D9C"/>
    <w:rsid w:val="003D4915"/>
    <w:rsid w:val="003D53E8"/>
    <w:rsid w:val="003E214E"/>
    <w:rsid w:val="003E2E32"/>
    <w:rsid w:val="003E54A2"/>
    <w:rsid w:val="0041044C"/>
    <w:rsid w:val="00417519"/>
    <w:rsid w:val="00431051"/>
    <w:rsid w:val="00464676"/>
    <w:rsid w:val="00470AD8"/>
    <w:rsid w:val="00473B70"/>
    <w:rsid w:val="0047665F"/>
    <w:rsid w:val="0047689D"/>
    <w:rsid w:val="0047779F"/>
    <w:rsid w:val="00477C92"/>
    <w:rsid w:val="004833AC"/>
    <w:rsid w:val="00497040"/>
    <w:rsid w:val="004B0534"/>
    <w:rsid w:val="004C09D1"/>
    <w:rsid w:val="004C3DEF"/>
    <w:rsid w:val="004D2AD2"/>
    <w:rsid w:val="004D3598"/>
    <w:rsid w:val="004D6079"/>
    <w:rsid w:val="004D71B2"/>
    <w:rsid w:val="004E0738"/>
    <w:rsid w:val="004E0C38"/>
    <w:rsid w:val="004E79EF"/>
    <w:rsid w:val="004F21A7"/>
    <w:rsid w:val="00502CB7"/>
    <w:rsid w:val="005068FB"/>
    <w:rsid w:val="00513E4F"/>
    <w:rsid w:val="00514158"/>
    <w:rsid w:val="00520A56"/>
    <w:rsid w:val="005217D5"/>
    <w:rsid w:val="00525E10"/>
    <w:rsid w:val="00541D0F"/>
    <w:rsid w:val="00546958"/>
    <w:rsid w:val="00561E16"/>
    <w:rsid w:val="00565564"/>
    <w:rsid w:val="00566DEB"/>
    <w:rsid w:val="0056705B"/>
    <w:rsid w:val="00577B25"/>
    <w:rsid w:val="0058104A"/>
    <w:rsid w:val="0058324D"/>
    <w:rsid w:val="00590F35"/>
    <w:rsid w:val="005924A6"/>
    <w:rsid w:val="00596C6D"/>
    <w:rsid w:val="005A0574"/>
    <w:rsid w:val="005A3F4A"/>
    <w:rsid w:val="005A7C0D"/>
    <w:rsid w:val="005B2CDD"/>
    <w:rsid w:val="005B3B93"/>
    <w:rsid w:val="005B3F37"/>
    <w:rsid w:val="005B4F63"/>
    <w:rsid w:val="005D0BAF"/>
    <w:rsid w:val="005D2279"/>
    <w:rsid w:val="005D728B"/>
    <w:rsid w:val="005E5545"/>
    <w:rsid w:val="0061199C"/>
    <w:rsid w:val="006131F1"/>
    <w:rsid w:val="0062258C"/>
    <w:rsid w:val="00623705"/>
    <w:rsid w:val="00637F7E"/>
    <w:rsid w:val="00641BDC"/>
    <w:rsid w:val="0064332D"/>
    <w:rsid w:val="0064794C"/>
    <w:rsid w:val="00650B51"/>
    <w:rsid w:val="0066136F"/>
    <w:rsid w:val="0066185C"/>
    <w:rsid w:val="006767E4"/>
    <w:rsid w:val="006848B9"/>
    <w:rsid w:val="0068632E"/>
    <w:rsid w:val="00687289"/>
    <w:rsid w:val="0068756B"/>
    <w:rsid w:val="00692FE3"/>
    <w:rsid w:val="00693A00"/>
    <w:rsid w:val="006942DA"/>
    <w:rsid w:val="006A1FA5"/>
    <w:rsid w:val="006A7E96"/>
    <w:rsid w:val="006B4B2A"/>
    <w:rsid w:val="006C468E"/>
    <w:rsid w:val="006D0C67"/>
    <w:rsid w:val="006E17DF"/>
    <w:rsid w:val="006E7541"/>
    <w:rsid w:val="006F038D"/>
    <w:rsid w:val="00701E9B"/>
    <w:rsid w:val="00716351"/>
    <w:rsid w:val="0071779E"/>
    <w:rsid w:val="00723036"/>
    <w:rsid w:val="007330B4"/>
    <w:rsid w:val="007516DB"/>
    <w:rsid w:val="0075522B"/>
    <w:rsid w:val="007720E0"/>
    <w:rsid w:val="00792DDB"/>
    <w:rsid w:val="007A493B"/>
    <w:rsid w:val="007A780F"/>
    <w:rsid w:val="007C25F2"/>
    <w:rsid w:val="007C779E"/>
    <w:rsid w:val="007D2CBD"/>
    <w:rsid w:val="007F7352"/>
    <w:rsid w:val="008063CB"/>
    <w:rsid w:val="00817737"/>
    <w:rsid w:val="00841DEF"/>
    <w:rsid w:val="008427BE"/>
    <w:rsid w:val="00845F0E"/>
    <w:rsid w:val="0087399B"/>
    <w:rsid w:val="008806FF"/>
    <w:rsid w:val="0088198A"/>
    <w:rsid w:val="00884547"/>
    <w:rsid w:val="00884F3E"/>
    <w:rsid w:val="008A02E3"/>
    <w:rsid w:val="008A325B"/>
    <w:rsid w:val="008A5F36"/>
    <w:rsid w:val="008B0B42"/>
    <w:rsid w:val="008C115D"/>
    <w:rsid w:val="008C58B9"/>
    <w:rsid w:val="008D18C9"/>
    <w:rsid w:val="008D73AC"/>
    <w:rsid w:val="008E0ADC"/>
    <w:rsid w:val="00910050"/>
    <w:rsid w:val="009246BF"/>
    <w:rsid w:val="009346C0"/>
    <w:rsid w:val="009428B7"/>
    <w:rsid w:val="0094535C"/>
    <w:rsid w:val="00947E6C"/>
    <w:rsid w:val="00950C81"/>
    <w:rsid w:val="00995468"/>
    <w:rsid w:val="009963E1"/>
    <w:rsid w:val="009A225E"/>
    <w:rsid w:val="009A2E5E"/>
    <w:rsid w:val="009A7FB8"/>
    <w:rsid w:val="009B08E7"/>
    <w:rsid w:val="009B101E"/>
    <w:rsid w:val="009B30B9"/>
    <w:rsid w:val="009B47E7"/>
    <w:rsid w:val="009B6A9F"/>
    <w:rsid w:val="009E25D1"/>
    <w:rsid w:val="009E727B"/>
    <w:rsid w:val="009F4E34"/>
    <w:rsid w:val="009F5462"/>
    <w:rsid w:val="009F7E9D"/>
    <w:rsid w:val="00A03B1D"/>
    <w:rsid w:val="00A112D8"/>
    <w:rsid w:val="00A211E1"/>
    <w:rsid w:val="00A22247"/>
    <w:rsid w:val="00A23670"/>
    <w:rsid w:val="00A2511E"/>
    <w:rsid w:val="00A3099B"/>
    <w:rsid w:val="00A30C51"/>
    <w:rsid w:val="00A4641B"/>
    <w:rsid w:val="00A5421A"/>
    <w:rsid w:val="00A54FB0"/>
    <w:rsid w:val="00A62027"/>
    <w:rsid w:val="00A63D96"/>
    <w:rsid w:val="00A67366"/>
    <w:rsid w:val="00A81650"/>
    <w:rsid w:val="00A937C6"/>
    <w:rsid w:val="00AA3542"/>
    <w:rsid w:val="00AA43E2"/>
    <w:rsid w:val="00AA5B03"/>
    <w:rsid w:val="00AA5C0C"/>
    <w:rsid w:val="00AA657D"/>
    <w:rsid w:val="00AB15FB"/>
    <w:rsid w:val="00AC195F"/>
    <w:rsid w:val="00AC38DD"/>
    <w:rsid w:val="00AC6B24"/>
    <w:rsid w:val="00AE40E5"/>
    <w:rsid w:val="00AF1D63"/>
    <w:rsid w:val="00AF67D1"/>
    <w:rsid w:val="00B1576E"/>
    <w:rsid w:val="00B25DAC"/>
    <w:rsid w:val="00B5019B"/>
    <w:rsid w:val="00B63156"/>
    <w:rsid w:val="00B70603"/>
    <w:rsid w:val="00B70D64"/>
    <w:rsid w:val="00B72030"/>
    <w:rsid w:val="00B736FB"/>
    <w:rsid w:val="00B848F0"/>
    <w:rsid w:val="00B85564"/>
    <w:rsid w:val="00B87F66"/>
    <w:rsid w:val="00BA11DF"/>
    <w:rsid w:val="00BB3AAE"/>
    <w:rsid w:val="00BB6EEC"/>
    <w:rsid w:val="00BC13F3"/>
    <w:rsid w:val="00BD0818"/>
    <w:rsid w:val="00BD3E35"/>
    <w:rsid w:val="00C01D48"/>
    <w:rsid w:val="00C1213A"/>
    <w:rsid w:val="00C23590"/>
    <w:rsid w:val="00C25569"/>
    <w:rsid w:val="00C2733F"/>
    <w:rsid w:val="00C27868"/>
    <w:rsid w:val="00C320FB"/>
    <w:rsid w:val="00C3356D"/>
    <w:rsid w:val="00C36872"/>
    <w:rsid w:val="00C418A0"/>
    <w:rsid w:val="00C56A54"/>
    <w:rsid w:val="00C60D07"/>
    <w:rsid w:val="00C63507"/>
    <w:rsid w:val="00C65A60"/>
    <w:rsid w:val="00C65D83"/>
    <w:rsid w:val="00C66C15"/>
    <w:rsid w:val="00C77815"/>
    <w:rsid w:val="00C85E0E"/>
    <w:rsid w:val="00C96E5C"/>
    <w:rsid w:val="00CA2DFB"/>
    <w:rsid w:val="00CB24F8"/>
    <w:rsid w:val="00CB40A0"/>
    <w:rsid w:val="00CC0C3E"/>
    <w:rsid w:val="00CC6537"/>
    <w:rsid w:val="00CE7DDB"/>
    <w:rsid w:val="00CF2358"/>
    <w:rsid w:val="00CF2368"/>
    <w:rsid w:val="00CF443D"/>
    <w:rsid w:val="00CF5960"/>
    <w:rsid w:val="00D00D60"/>
    <w:rsid w:val="00D05A40"/>
    <w:rsid w:val="00D06E6E"/>
    <w:rsid w:val="00D1039E"/>
    <w:rsid w:val="00D127DF"/>
    <w:rsid w:val="00D35B0C"/>
    <w:rsid w:val="00D368C5"/>
    <w:rsid w:val="00D43D38"/>
    <w:rsid w:val="00D46449"/>
    <w:rsid w:val="00D51075"/>
    <w:rsid w:val="00D52181"/>
    <w:rsid w:val="00D57B7B"/>
    <w:rsid w:val="00D6232A"/>
    <w:rsid w:val="00D678B3"/>
    <w:rsid w:val="00D72B59"/>
    <w:rsid w:val="00D83455"/>
    <w:rsid w:val="00D94DA5"/>
    <w:rsid w:val="00D96D23"/>
    <w:rsid w:val="00DC6698"/>
    <w:rsid w:val="00DC740A"/>
    <w:rsid w:val="00DD5803"/>
    <w:rsid w:val="00DD5F6D"/>
    <w:rsid w:val="00DE2B81"/>
    <w:rsid w:val="00DE713E"/>
    <w:rsid w:val="00DE7D51"/>
    <w:rsid w:val="00DF0B75"/>
    <w:rsid w:val="00DF78E5"/>
    <w:rsid w:val="00E0127B"/>
    <w:rsid w:val="00E10492"/>
    <w:rsid w:val="00E203BD"/>
    <w:rsid w:val="00E23C10"/>
    <w:rsid w:val="00E27E30"/>
    <w:rsid w:val="00E41A64"/>
    <w:rsid w:val="00E47603"/>
    <w:rsid w:val="00E548DB"/>
    <w:rsid w:val="00E56C04"/>
    <w:rsid w:val="00E66588"/>
    <w:rsid w:val="00E729FD"/>
    <w:rsid w:val="00E76CA8"/>
    <w:rsid w:val="00E86936"/>
    <w:rsid w:val="00E91138"/>
    <w:rsid w:val="00E92F5A"/>
    <w:rsid w:val="00E9771E"/>
    <w:rsid w:val="00EA0504"/>
    <w:rsid w:val="00EA4CF6"/>
    <w:rsid w:val="00EA5745"/>
    <w:rsid w:val="00EA67F5"/>
    <w:rsid w:val="00EC5004"/>
    <w:rsid w:val="00ED0FA6"/>
    <w:rsid w:val="00ED1570"/>
    <w:rsid w:val="00ED274D"/>
    <w:rsid w:val="00ED33DE"/>
    <w:rsid w:val="00ED7BF8"/>
    <w:rsid w:val="00EE3A04"/>
    <w:rsid w:val="00EE4100"/>
    <w:rsid w:val="00EF40D6"/>
    <w:rsid w:val="00F0690A"/>
    <w:rsid w:val="00F105FF"/>
    <w:rsid w:val="00F21DC9"/>
    <w:rsid w:val="00F23254"/>
    <w:rsid w:val="00F40886"/>
    <w:rsid w:val="00F510CF"/>
    <w:rsid w:val="00F529C6"/>
    <w:rsid w:val="00F5786E"/>
    <w:rsid w:val="00F74908"/>
    <w:rsid w:val="00F757E7"/>
    <w:rsid w:val="00F77D9A"/>
    <w:rsid w:val="00F82967"/>
    <w:rsid w:val="00F93229"/>
    <w:rsid w:val="00FA4CC0"/>
    <w:rsid w:val="00FB7FA3"/>
    <w:rsid w:val="00FC46A6"/>
    <w:rsid w:val="00FD0C12"/>
    <w:rsid w:val="00FD47DA"/>
    <w:rsid w:val="00FD50F8"/>
    <w:rsid w:val="00FE5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088B"/>
  <w15:chartTrackingRefBased/>
  <w15:docId w15:val="{B60F1EE4-F6D5-48AF-9A2F-8B1A283C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85C"/>
  </w:style>
  <w:style w:type="paragraph" w:styleId="Heading2">
    <w:name w:val="heading 2"/>
    <w:basedOn w:val="Normal"/>
    <w:next w:val="Normal"/>
    <w:link w:val="Heading2Char"/>
    <w:uiPriority w:val="9"/>
    <w:unhideWhenUsed/>
    <w:qFormat/>
    <w:rsid w:val="00253B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7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4158"/>
    <w:pPr>
      <w:ind w:left="720"/>
      <w:contextualSpacing/>
    </w:pPr>
  </w:style>
  <w:style w:type="character" w:styleId="Hyperlink">
    <w:name w:val="Hyperlink"/>
    <w:basedOn w:val="DefaultParagraphFont"/>
    <w:uiPriority w:val="99"/>
    <w:unhideWhenUsed/>
    <w:rsid w:val="00E548DB"/>
    <w:rPr>
      <w:color w:val="0563C1" w:themeColor="hyperlink"/>
      <w:u w:val="single"/>
    </w:rPr>
  </w:style>
  <w:style w:type="character" w:styleId="UnresolvedMention">
    <w:name w:val="Unresolved Mention"/>
    <w:basedOn w:val="DefaultParagraphFont"/>
    <w:uiPriority w:val="99"/>
    <w:semiHidden/>
    <w:unhideWhenUsed/>
    <w:rsid w:val="00E548DB"/>
    <w:rPr>
      <w:color w:val="605E5C"/>
      <w:shd w:val="clear" w:color="auto" w:fill="E1DFDD"/>
    </w:rPr>
  </w:style>
  <w:style w:type="paragraph" w:styleId="BalloonText">
    <w:name w:val="Balloon Text"/>
    <w:basedOn w:val="Normal"/>
    <w:link w:val="BalloonTextChar"/>
    <w:uiPriority w:val="99"/>
    <w:semiHidden/>
    <w:unhideWhenUsed/>
    <w:rsid w:val="00BD08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18"/>
    <w:rPr>
      <w:rFonts w:ascii="Segoe UI" w:hAnsi="Segoe UI" w:cs="Segoe UI"/>
      <w:sz w:val="18"/>
      <w:szCs w:val="18"/>
    </w:rPr>
  </w:style>
  <w:style w:type="character" w:customStyle="1" w:styleId="Heading2Char">
    <w:name w:val="Heading 2 Char"/>
    <w:basedOn w:val="DefaultParagraphFont"/>
    <w:link w:val="Heading2"/>
    <w:uiPriority w:val="9"/>
    <w:rsid w:val="00253B8F"/>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F23254"/>
    <w:rPr>
      <w:sz w:val="16"/>
      <w:szCs w:val="16"/>
    </w:rPr>
  </w:style>
  <w:style w:type="paragraph" w:styleId="CommentText">
    <w:name w:val="annotation text"/>
    <w:basedOn w:val="Normal"/>
    <w:link w:val="CommentTextChar"/>
    <w:uiPriority w:val="99"/>
    <w:semiHidden/>
    <w:unhideWhenUsed/>
    <w:rsid w:val="00F23254"/>
    <w:pPr>
      <w:spacing w:line="240" w:lineRule="auto"/>
    </w:pPr>
    <w:rPr>
      <w:sz w:val="20"/>
      <w:szCs w:val="20"/>
    </w:rPr>
  </w:style>
  <w:style w:type="character" w:customStyle="1" w:styleId="CommentTextChar">
    <w:name w:val="Comment Text Char"/>
    <w:basedOn w:val="DefaultParagraphFont"/>
    <w:link w:val="CommentText"/>
    <w:uiPriority w:val="99"/>
    <w:semiHidden/>
    <w:rsid w:val="00F23254"/>
    <w:rPr>
      <w:sz w:val="20"/>
      <w:szCs w:val="20"/>
    </w:rPr>
  </w:style>
  <w:style w:type="paragraph" w:styleId="CommentSubject">
    <w:name w:val="annotation subject"/>
    <w:basedOn w:val="CommentText"/>
    <w:next w:val="CommentText"/>
    <w:link w:val="CommentSubjectChar"/>
    <w:uiPriority w:val="99"/>
    <w:semiHidden/>
    <w:unhideWhenUsed/>
    <w:rsid w:val="00F23254"/>
    <w:rPr>
      <w:b/>
      <w:bCs/>
    </w:rPr>
  </w:style>
  <w:style w:type="character" w:customStyle="1" w:styleId="CommentSubjectChar">
    <w:name w:val="Comment Subject Char"/>
    <w:basedOn w:val="CommentTextChar"/>
    <w:link w:val="CommentSubject"/>
    <w:uiPriority w:val="99"/>
    <w:semiHidden/>
    <w:rsid w:val="00F23254"/>
    <w:rPr>
      <w:b/>
      <w:bCs/>
      <w:sz w:val="20"/>
      <w:szCs w:val="20"/>
    </w:rPr>
  </w:style>
  <w:style w:type="paragraph" w:styleId="Header">
    <w:name w:val="header"/>
    <w:basedOn w:val="Normal"/>
    <w:link w:val="HeaderChar"/>
    <w:uiPriority w:val="99"/>
    <w:unhideWhenUsed/>
    <w:rsid w:val="00B73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6FB"/>
  </w:style>
  <w:style w:type="paragraph" w:styleId="Footer">
    <w:name w:val="footer"/>
    <w:basedOn w:val="Normal"/>
    <w:link w:val="FooterChar"/>
    <w:uiPriority w:val="99"/>
    <w:unhideWhenUsed/>
    <w:rsid w:val="00B73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23510">
      <w:bodyDiv w:val="1"/>
      <w:marLeft w:val="0"/>
      <w:marRight w:val="0"/>
      <w:marTop w:val="0"/>
      <w:marBottom w:val="0"/>
      <w:divBdr>
        <w:top w:val="none" w:sz="0" w:space="0" w:color="auto"/>
        <w:left w:val="none" w:sz="0" w:space="0" w:color="auto"/>
        <w:bottom w:val="none" w:sz="0" w:space="0" w:color="auto"/>
        <w:right w:val="none" w:sz="0" w:space="0" w:color="auto"/>
      </w:divBdr>
    </w:div>
    <w:div w:id="792090039">
      <w:bodyDiv w:val="1"/>
      <w:marLeft w:val="0"/>
      <w:marRight w:val="0"/>
      <w:marTop w:val="0"/>
      <w:marBottom w:val="0"/>
      <w:divBdr>
        <w:top w:val="none" w:sz="0" w:space="0" w:color="auto"/>
        <w:left w:val="none" w:sz="0" w:space="0" w:color="auto"/>
        <w:bottom w:val="none" w:sz="0" w:space="0" w:color="auto"/>
        <w:right w:val="none" w:sz="0" w:space="0" w:color="auto"/>
      </w:divBdr>
    </w:div>
    <w:div w:id="1285818083">
      <w:bodyDiv w:val="1"/>
      <w:marLeft w:val="0"/>
      <w:marRight w:val="0"/>
      <w:marTop w:val="0"/>
      <w:marBottom w:val="0"/>
      <w:divBdr>
        <w:top w:val="none" w:sz="0" w:space="0" w:color="auto"/>
        <w:left w:val="none" w:sz="0" w:space="0" w:color="auto"/>
        <w:bottom w:val="none" w:sz="0" w:space="0" w:color="auto"/>
        <w:right w:val="none" w:sz="0" w:space="0" w:color="auto"/>
      </w:divBdr>
    </w:div>
    <w:div w:id="1495997667">
      <w:bodyDiv w:val="1"/>
      <w:marLeft w:val="0"/>
      <w:marRight w:val="0"/>
      <w:marTop w:val="0"/>
      <w:marBottom w:val="0"/>
      <w:divBdr>
        <w:top w:val="none" w:sz="0" w:space="0" w:color="auto"/>
        <w:left w:val="none" w:sz="0" w:space="0" w:color="auto"/>
        <w:bottom w:val="none" w:sz="0" w:space="0" w:color="auto"/>
        <w:right w:val="none" w:sz="0" w:space="0" w:color="auto"/>
      </w:divBdr>
      <w:divsChild>
        <w:div w:id="217937754">
          <w:marLeft w:val="0"/>
          <w:marRight w:val="0"/>
          <w:marTop w:val="0"/>
          <w:marBottom w:val="0"/>
          <w:divBdr>
            <w:top w:val="none" w:sz="0" w:space="0" w:color="auto"/>
            <w:left w:val="none" w:sz="0" w:space="0" w:color="auto"/>
            <w:bottom w:val="none" w:sz="0" w:space="0" w:color="auto"/>
            <w:right w:val="none" w:sz="0" w:space="0" w:color="auto"/>
          </w:divBdr>
          <w:divsChild>
            <w:div w:id="1694107122">
              <w:marLeft w:val="0"/>
              <w:marRight w:val="0"/>
              <w:marTop w:val="0"/>
              <w:marBottom w:val="0"/>
              <w:divBdr>
                <w:top w:val="none" w:sz="0" w:space="0" w:color="auto"/>
                <w:left w:val="none" w:sz="0" w:space="0" w:color="auto"/>
                <w:bottom w:val="none" w:sz="0" w:space="0" w:color="auto"/>
                <w:right w:val="none" w:sz="0" w:space="0" w:color="auto"/>
              </w:divBdr>
              <w:divsChild>
                <w:div w:id="939720843">
                  <w:marLeft w:val="0"/>
                  <w:marRight w:val="0"/>
                  <w:marTop w:val="0"/>
                  <w:marBottom w:val="0"/>
                  <w:divBdr>
                    <w:top w:val="none" w:sz="0" w:space="0" w:color="auto"/>
                    <w:left w:val="none" w:sz="0" w:space="0" w:color="auto"/>
                    <w:bottom w:val="none" w:sz="0" w:space="0" w:color="auto"/>
                    <w:right w:val="none" w:sz="0" w:space="0" w:color="auto"/>
                  </w:divBdr>
                  <w:divsChild>
                    <w:div w:id="40518198">
                      <w:marLeft w:val="0"/>
                      <w:marRight w:val="0"/>
                      <w:marTop w:val="0"/>
                      <w:marBottom w:val="0"/>
                      <w:divBdr>
                        <w:top w:val="none" w:sz="0" w:space="0" w:color="auto"/>
                        <w:left w:val="none" w:sz="0" w:space="0" w:color="auto"/>
                        <w:bottom w:val="none" w:sz="0" w:space="0" w:color="auto"/>
                        <w:right w:val="none" w:sz="0" w:space="0" w:color="auto"/>
                      </w:divBdr>
                      <w:divsChild>
                        <w:div w:id="1374034862">
                          <w:marLeft w:val="0"/>
                          <w:marRight w:val="0"/>
                          <w:marTop w:val="0"/>
                          <w:marBottom w:val="0"/>
                          <w:divBdr>
                            <w:top w:val="none" w:sz="0" w:space="0" w:color="auto"/>
                            <w:left w:val="none" w:sz="0" w:space="0" w:color="auto"/>
                            <w:bottom w:val="none" w:sz="0" w:space="0" w:color="auto"/>
                            <w:right w:val="none" w:sz="0" w:space="0" w:color="auto"/>
                          </w:divBdr>
                          <w:divsChild>
                            <w:div w:id="19662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11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11.wmf"/></Relationships>
</file>

<file path=word/diagrams/_rels/data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_rels/drawing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38F275-4CD1-4796-9C70-22978064B6D5}" type="doc">
      <dgm:prSet loTypeId="urn:microsoft.com/office/officeart/2005/8/layout/vList3" loCatId="list" qsTypeId="urn:microsoft.com/office/officeart/2005/8/quickstyle/3d1" qsCatId="3D" csTypeId="urn:microsoft.com/office/officeart/2005/8/colors/colorful5" csCatId="colorful" phldr="1"/>
      <dgm:spPr/>
      <dgm:t>
        <a:bodyPr/>
        <a:lstStyle/>
        <a:p>
          <a:endParaRPr lang="en-GB"/>
        </a:p>
      </dgm:t>
    </dgm:pt>
    <dgm:pt modelId="{FA43A56A-F11E-4DF0-B9A5-D5B070544862}">
      <dgm:prSet phldrT="[Text]"/>
      <dgm:spPr/>
      <dgm:t>
        <a:bodyPr/>
        <a:lstStyle/>
        <a:p>
          <a:r>
            <a:rPr lang="en-GB"/>
            <a:t>Vision</a:t>
          </a:r>
        </a:p>
      </dgm:t>
    </dgm:pt>
    <dgm:pt modelId="{9610DC66-9577-4110-BDB7-FB84D2168BE7}" type="parTrans" cxnId="{19BA4B96-D5F5-4B54-8D6E-0837D3B4CB7A}">
      <dgm:prSet/>
      <dgm:spPr/>
      <dgm:t>
        <a:bodyPr/>
        <a:lstStyle/>
        <a:p>
          <a:endParaRPr lang="en-GB"/>
        </a:p>
      </dgm:t>
    </dgm:pt>
    <dgm:pt modelId="{527853A6-9434-4C71-8460-7ECCE30AB1EC}" type="sibTrans" cxnId="{19BA4B96-D5F5-4B54-8D6E-0837D3B4CB7A}">
      <dgm:prSet/>
      <dgm:spPr/>
      <dgm:t>
        <a:bodyPr/>
        <a:lstStyle/>
        <a:p>
          <a:endParaRPr lang="en-GB"/>
        </a:p>
      </dgm:t>
    </dgm:pt>
    <dgm:pt modelId="{ECA3EC8E-4AF5-4ED6-9C5F-2D4C59ACF463}">
      <dgm:prSet phldrT="[Text]"/>
      <dgm:spPr/>
      <dgm:t>
        <a:bodyPr/>
        <a:lstStyle/>
        <a:p>
          <a:r>
            <a:rPr lang="en-GB"/>
            <a:t>We will support, develop and prepare staff to operate in the environments that they face.</a:t>
          </a:r>
        </a:p>
      </dgm:t>
    </dgm:pt>
    <dgm:pt modelId="{CCDCA43B-6805-49ED-9C1E-053971484C9D}" type="parTrans" cxnId="{AE76F007-C908-41D4-92D3-CDA7F9BC8359}">
      <dgm:prSet/>
      <dgm:spPr/>
      <dgm:t>
        <a:bodyPr/>
        <a:lstStyle/>
        <a:p>
          <a:endParaRPr lang="en-GB"/>
        </a:p>
      </dgm:t>
    </dgm:pt>
    <dgm:pt modelId="{96894C7A-4C80-4E4E-BBCA-34C66F5F9680}" type="sibTrans" cxnId="{AE76F007-C908-41D4-92D3-CDA7F9BC8359}">
      <dgm:prSet/>
      <dgm:spPr/>
      <dgm:t>
        <a:bodyPr/>
        <a:lstStyle/>
        <a:p>
          <a:endParaRPr lang="en-GB"/>
        </a:p>
      </dgm:t>
    </dgm:pt>
    <dgm:pt modelId="{D9EB0ABA-BB75-4181-9DAF-F7C7B3D8C79C}">
      <dgm:prSet phldrT="[Text]"/>
      <dgm:spPr/>
      <dgm:t>
        <a:bodyPr/>
        <a:lstStyle/>
        <a:p>
          <a:r>
            <a:rPr lang="en-GB"/>
            <a:t>Environment</a:t>
          </a:r>
        </a:p>
      </dgm:t>
    </dgm:pt>
    <dgm:pt modelId="{50D08E46-78CE-46CE-9DCC-38AA8B18F4A3}" type="parTrans" cxnId="{D541FB1B-A632-45AE-9824-623889F7D8BF}">
      <dgm:prSet/>
      <dgm:spPr/>
      <dgm:t>
        <a:bodyPr/>
        <a:lstStyle/>
        <a:p>
          <a:endParaRPr lang="en-GB"/>
        </a:p>
      </dgm:t>
    </dgm:pt>
    <dgm:pt modelId="{F50BB1F5-588B-4F1C-A5B7-FBB72A3FF994}" type="sibTrans" cxnId="{D541FB1B-A632-45AE-9824-623889F7D8BF}">
      <dgm:prSet/>
      <dgm:spPr/>
      <dgm:t>
        <a:bodyPr/>
        <a:lstStyle/>
        <a:p>
          <a:endParaRPr lang="en-GB"/>
        </a:p>
      </dgm:t>
    </dgm:pt>
    <dgm:pt modelId="{D1970CB3-A1CD-42FF-B897-A7A28FF9BF07}">
      <dgm:prSet phldrT="[Text]"/>
      <dgm:spPr/>
      <dgm:t>
        <a:bodyPr/>
        <a:lstStyle/>
        <a:p>
          <a:r>
            <a:rPr lang="en-GB"/>
            <a:t>The Training and Development framework clearly links training, competence, and operational effectiveness.</a:t>
          </a:r>
        </a:p>
      </dgm:t>
    </dgm:pt>
    <dgm:pt modelId="{F3789915-6F36-4A40-8DFA-7EFE9714CD5B}" type="parTrans" cxnId="{73C34F4E-808D-4CD0-9161-805B4044DAD6}">
      <dgm:prSet/>
      <dgm:spPr/>
      <dgm:t>
        <a:bodyPr/>
        <a:lstStyle/>
        <a:p>
          <a:endParaRPr lang="en-GB"/>
        </a:p>
      </dgm:t>
    </dgm:pt>
    <dgm:pt modelId="{20B2A38A-DF19-4FB4-9775-A03B1AD7C5A9}" type="sibTrans" cxnId="{73C34F4E-808D-4CD0-9161-805B4044DAD6}">
      <dgm:prSet/>
      <dgm:spPr/>
      <dgm:t>
        <a:bodyPr/>
        <a:lstStyle/>
        <a:p>
          <a:endParaRPr lang="en-GB"/>
        </a:p>
      </dgm:t>
    </dgm:pt>
    <dgm:pt modelId="{EC6FCB7A-4E37-473E-BA35-E8A2BE973C4F}">
      <dgm:prSet phldrT="[Text]"/>
      <dgm:spPr/>
      <dgm:t>
        <a:bodyPr/>
        <a:lstStyle/>
        <a:p>
          <a:r>
            <a:rPr lang="en-GB"/>
            <a:t>Strategic Drivers</a:t>
          </a:r>
        </a:p>
      </dgm:t>
    </dgm:pt>
    <dgm:pt modelId="{477D9663-B0FA-4658-9D7C-9D9CD5EC6DF2}" type="parTrans" cxnId="{05ACD53E-7283-465F-971F-6BA2B467521C}">
      <dgm:prSet/>
      <dgm:spPr/>
      <dgm:t>
        <a:bodyPr/>
        <a:lstStyle/>
        <a:p>
          <a:endParaRPr lang="en-GB"/>
        </a:p>
      </dgm:t>
    </dgm:pt>
    <dgm:pt modelId="{308ABAE9-A8B9-4167-A5BE-0E0949106170}" type="sibTrans" cxnId="{05ACD53E-7283-465F-971F-6BA2B467521C}">
      <dgm:prSet/>
      <dgm:spPr/>
      <dgm:t>
        <a:bodyPr/>
        <a:lstStyle/>
        <a:p>
          <a:endParaRPr lang="en-GB"/>
        </a:p>
      </dgm:t>
    </dgm:pt>
    <dgm:pt modelId="{07343565-0C83-4FEC-82D7-810F9C07B4C5}">
      <dgm:prSet phldrT="[Text]"/>
      <dgm:spPr/>
      <dgm:t>
        <a:bodyPr/>
        <a:lstStyle/>
        <a:p>
          <a:r>
            <a:rPr lang="en-GB"/>
            <a:t> Legislation, Fire Standards and the assessement of risk  provide the parameters for operational competence and how we achieve it. </a:t>
          </a:r>
        </a:p>
      </dgm:t>
    </dgm:pt>
    <dgm:pt modelId="{99D7618F-8A3C-4A32-B26E-232C05D1686C}" type="parTrans" cxnId="{99E2EB78-F12A-4E6C-9AD5-F2C38D59D9E8}">
      <dgm:prSet/>
      <dgm:spPr/>
      <dgm:t>
        <a:bodyPr/>
        <a:lstStyle/>
        <a:p>
          <a:endParaRPr lang="en-GB"/>
        </a:p>
      </dgm:t>
    </dgm:pt>
    <dgm:pt modelId="{E4D19C62-834B-4169-82BE-185A77785758}" type="sibTrans" cxnId="{99E2EB78-F12A-4E6C-9AD5-F2C38D59D9E8}">
      <dgm:prSet/>
      <dgm:spPr/>
      <dgm:t>
        <a:bodyPr/>
        <a:lstStyle/>
        <a:p>
          <a:endParaRPr lang="en-GB"/>
        </a:p>
      </dgm:t>
    </dgm:pt>
    <dgm:pt modelId="{B34C89E7-AA4B-4534-B30B-11E6551A9133}">
      <dgm:prSet phldrT="[Text]"/>
      <dgm:spPr/>
      <dgm:t>
        <a:bodyPr/>
        <a:lstStyle/>
        <a:p>
          <a:r>
            <a:rPr lang="en-GB"/>
            <a:t>Defining the requirement</a:t>
          </a:r>
        </a:p>
      </dgm:t>
    </dgm:pt>
    <dgm:pt modelId="{6DB72CA7-0187-4584-BE6E-893957AA4350}" type="parTrans" cxnId="{1E330913-6705-494F-800F-302FB31AD35D}">
      <dgm:prSet/>
      <dgm:spPr/>
      <dgm:t>
        <a:bodyPr/>
        <a:lstStyle/>
        <a:p>
          <a:endParaRPr lang="en-GB"/>
        </a:p>
      </dgm:t>
    </dgm:pt>
    <dgm:pt modelId="{791FA2F7-9D52-4B82-BC51-B1F1763E2E39}" type="sibTrans" cxnId="{1E330913-6705-494F-800F-302FB31AD35D}">
      <dgm:prSet/>
      <dgm:spPr/>
      <dgm:t>
        <a:bodyPr/>
        <a:lstStyle/>
        <a:p>
          <a:endParaRPr lang="en-GB"/>
        </a:p>
      </dgm:t>
    </dgm:pt>
    <dgm:pt modelId="{B876E4EB-50AE-49EF-B7A9-7034A3710BF0}">
      <dgm:prSet phldrT="[Text]"/>
      <dgm:spPr/>
      <dgm:t>
        <a:bodyPr/>
        <a:lstStyle/>
        <a:p>
          <a:r>
            <a:rPr lang="en-GB"/>
            <a:t>Strategic Performance Measures</a:t>
          </a:r>
        </a:p>
      </dgm:t>
    </dgm:pt>
    <dgm:pt modelId="{7F6AAB27-58E3-4C5E-B762-4B39F6395CDE}" type="parTrans" cxnId="{ABA6C136-130C-4092-B9D9-3DA6187F9154}">
      <dgm:prSet/>
      <dgm:spPr/>
      <dgm:t>
        <a:bodyPr/>
        <a:lstStyle/>
        <a:p>
          <a:endParaRPr lang="en-GB"/>
        </a:p>
      </dgm:t>
    </dgm:pt>
    <dgm:pt modelId="{85D8D08F-FB2B-46BB-B26D-B21CA9B41834}" type="sibTrans" cxnId="{ABA6C136-130C-4092-B9D9-3DA6187F9154}">
      <dgm:prSet/>
      <dgm:spPr/>
      <dgm:t>
        <a:bodyPr/>
        <a:lstStyle/>
        <a:p>
          <a:endParaRPr lang="en-GB"/>
        </a:p>
      </dgm:t>
    </dgm:pt>
    <dgm:pt modelId="{6A88C68C-4F05-4C65-82DD-5D7FB6AFE31C}">
      <dgm:prSet phldrT="[Text]"/>
      <dgm:spPr/>
      <dgm:t>
        <a:bodyPr/>
        <a:lstStyle/>
        <a:p>
          <a:r>
            <a:rPr lang="en-GB"/>
            <a:t> Performance recording, reporting and analysis will enable us to measure strategy success. </a:t>
          </a:r>
        </a:p>
      </dgm:t>
    </dgm:pt>
    <dgm:pt modelId="{95C54DB7-E07D-4C3A-8A17-F75431F8F5C1}" type="parTrans" cxnId="{711D3A33-49A7-4054-9A73-A4F683F186E9}">
      <dgm:prSet/>
      <dgm:spPr/>
      <dgm:t>
        <a:bodyPr/>
        <a:lstStyle/>
        <a:p>
          <a:endParaRPr lang="en-GB"/>
        </a:p>
      </dgm:t>
    </dgm:pt>
    <dgm:pt modelId="{13B37E99-4BAD-48D7-975A-B845BDF817B9}" type="sibTrans" cxnId="{711D3A33-49A7-4054-9A73-A4F683F186E9}">
      <dgm:prSet/>
      <dgm:spPr/>
      <dgm:t>
        <a:bodyPr/>
        <a:lstStyle/>
        <a:p>
          <a:endParaRPr lang="en-GB"/>
        </a:p>
      </dgm:t>
    </dgm:pt>
    <dgm:pt modelId="{1A1E7C88-85D7-4EAF-9723-0D7CD7EF7EB4}">
      <dgm:prSet phldrT="[Text]"/>
      <dgm:spPr/>
      <dgm:t>
        <a:bodyPr/>
        <a:lstStyle/>
        <a:p>
          <a:r>
            <a:rPr lang="en-GB"/>
            <a:t> Develop plans aligned with this Strategy to deliver training and assess safety critical elements.</a:t>
          </a:r>
        </a:p>
      </dgm:t>
    </dgm:pt>
    <dgm:pt modelId="{15BC8C7C-DCAA-48F8-AF8E-4B012FB7330B}" type="sibTrans" cxnId="{AABBECF4-9C6F-4492-AE39-6BCDDB3ED5C3}">
      <dgm:prSet/>
      <dgm:spPr/>
      <dgm:t>
        <a:bodyPr/>
        <a:lstStyle/>
        <a:p>
          <a:endParaRPr lang="en-GB"/>
        </a:p>
      </dgm:t>
    </dgm:pt>
    <dgm:pt modelId="{BF7BFBF5-BDCD-48C5-B3DF-2266A5463F02}" type="parTrans" cxnId="{AABBECF4-9C6F-4492-AE39-6BCDDB3ED5C3}">
      <dgm:prSet/>
      <dgm:spPr/>
      <dgm:t>
        <a:bodyPr/>
        <a:lstStyle/>
        <a:p>
          <a:endParaRPr lang="en-GB"/>
        </a:p>
      </dgm:t>
    </dgm:pt>
    <dgm:pt modelId="{C493ED86-3A6F-4888-87EC-A1F6CE494828}" type="pres">
      <dgm:prSet presAssocID="{C238F275-4CD1-4796-9C70-22978064B6D5}" presName="linearFlow" presStyleCnt="0">
        <dgm:presLayoutVars>
          <dgm:dir/>
          <dgm:resizeHandles val="exact"/>
        </dgm:presLayoutVars>
      </dgm:prSet>
      <dgm:spPr/>
    </dgm:pt>
    <dgm:pt modelId="{9417435D-3DE6-4540-9534-6FB8BDE32D9B}" type="pres">
      <dgm:prSet presAssocID="{FA43A56A-F11E-4DF0-B9A5-D5B070544862}" presName="composite" presStyleCnt="0"/>
      <dgm:spPr/>
    </dgm:pt>
    <dgm:pt modelId="{057E680D-AF6F-4125-B087-08A88D86C76D}" type="pres">
      <dgm:prSet presAssocID="{FA43A56A-F11E-4DF0-B9A5-D5B070544862}" presName="imgShp" presStyleLbl="fgImgPlace1" presStyleIdx="0" presStyleCnt="5"/>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dgm:spPr>
    </dgm:pt>
    <dgm:pt modelId="{06E10575-5782-4860-9FCA-3CBB676FCBD1}" type="pres">
      <dgm:prSet presAssocID="{FA43A56A-F11E-4DF0-B9A5-D5B070544862}" presName="txShp" presStyleLbl="node1" presStyleIdx="0" presStyleCnt="5">
        <dgm:presLayoutVars>
          <dgm:bulletEnabled val="1"/>
        </dgm:presLayoutVars>
      </dgm:prSet>
      <dgm:spPr/>
    </dgm:pt>
    <dgm:pt modelId="{6CFC78A1-28D4-42BF-AB5A-217276E05DC1}" type="pres">
      <dgm:prSet presAssocID="{527853A6-9434-4C71-8460-7ECCE30AB1EC}" presName="spacing" presStyleCnt="0"/>
      <dgm:spPr/>
    </dgm:pt>
    <dgm:pt modelId="{1B2D5035-880F-49E9-A911-BA90453DD60A}" type="pres">
      <dgm:prSet presAssocID="{D9EB0ABA-BB75-4181-9DAF-F7C7B3D8C79C}" presName="composite" presStyleCnt="0"/>
      <dgm:spPr/>
    </dgm:pt>
    <dgm:pt modelId="{22FC123F-EE39-4C4F-8820-2EDC626E1A47}" type="pres">
      <dgm:prSet presAssocID="{D9EB0ABA-BB75-4181-9DAF-F7C7B3D8C79C}" presName="imgShp" presStyleLbl="fgImgPlace1" presStyleIdx="1" presStyleCnt="5"/>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Open hand with plant with solid fill"/>
        </a:ext>
      </dgm:extLst>
    </dgm:pt>
    <dgm:pt modelId="{934B8D4C-F4E0-4A17-9BD7-CD24CF20AA33}" type="pres">
      <dgm:prSet presAssocID="{D9EB0ABA-BB75-4181-9DAF-F7C7B3D8C79C}" presName="txShp" presStyleLbl="node1" presStyleIdx="1" presStyleCnt="5">
        <dgm:presLayoutVars>
          <dgm:bulletEnabled val="1"/>
        </dgm:presLayoutVars>
      </dgm:prSet>
      <dgm:spPr/>
    </dgm:pt>
    <dgm:pt modelId="{0CB3CB9E-7B97-407E-8CD0-4CBB7B8295D3}" type="pres">
      <dgm:prSet presAssocID="{F50BB1F5-588B-4F1C-A5B7-FBB72A3FF994}" presName="spacing" presStyleCnt="0"/>
      <dgm:spPr/>
    </dgm:pt>
    <dgm:pt modelId="{0043D5C2-6520-4720-96E1-DAC6DCAD10C6}" type="pres">
      <dgm:prSet presAssocID="{EC6FCB7A-4E37-473E-BA35-E8A2BE973C4F}" presName="composite" presStyleCnt="0"/>
      <dgm:spPr/>
    </dgm:pt>
    <dgm:pt modelId="{DE7D18EF-E5F6-446C-9185-9F811462B3A0}" type="pres">
      <dgm:prSet presAssocID="{EC6FCB7A-4E37-473E-BA35-E8A2BE973C4F}" presName="imgShp" presStyleLbl="fgImgPlace1" presStyleIdx="2" presStyleCnt="5"/>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Clipboard Checked with solid fill"/>
        </a:ext>
      </dgm:extLst>
    </dgm:pt>
    <dgm:pt modelId="{14353460-6C8C-4F7E-AE53-27605D82E714}" type="pres">
      <dgm:prSet presAssocID="{EC6FCB7A-4E37-473E-BA35-E8A2BE973C4F}" presName="txShp" presStyleLbl="node1" presStyleIdx="2" presStyleCnt="5">
        <dgm:presLayoutVars>
          <dgm:bulletEnabled val="1"/>
        </dgm:presLayoutVars>
      </dgm:prSet>
      <dgm:spPr/>
    </dgm:pt>
    <dgm:pt modelId="{4A1A19B8-3102-400C-8DEE-D60AAB103382}" type="pres">
      <dgm:prSet presAssocID="{308ABAE9-A8B9-4167-A5BE-0E0949106170}" presName="spacing" presStyleCnt="0"/>
      <dgm:spPr/>
    </dgm:pt>
    <dgm:pt modelId="{648A0044-7A10-4921-8A31-87E16EDE2FCC}" type="pres">
      <dgm:prSet presAssocID="{B34C89E7-AA4B-4534-B30B-11E6551A9133}" presName="composite" presStyleCnt="0"/>
      <dgm:spPr/>
    </dgm:pt>
    <dgm:pt modelId="{13908E4E-B28F-4418-8C9F-6AAD85E994CF}" type="pres">
      <dgm:prSet presAssocID="{B34C89E7-AA4B-4534-B30B-11E6551A9133}" presName="imgShp" presStyleLbl="fgImgPlace1" presStyleIdx="3" presStyleCnt="5"/>
      <dgm:spPr>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a:blipFill>
      </dgm:spPr>
      <dgm:extLst>
        <a:ext uri="{E40237B7-FDA0-4F09-8148-C483321AD2D9}">
          <dgm14:cNvPr xmlns:dgm14="http://schemas.microsoft.com/office/drawing/2010/diagram" id="0" name="" descr="Infinity with solid fill"/>
        </a:ext>
      </dgm:extLst>
    </dgm:pt>
    <dgm:pt modelId="{AD856F11-4F50-4E52-A62B-BEC9FC9D49A6}" type="pres">
      <dgm:prSet presAssocID="{B34C89E7-AA4B-4534-B30B-11E6551A9133}" presName="txShp" presStyleLbl="node1" presStyleIdx="3" presStyleCnt="5">
        <dgm:presLayoutVars>
          <dgm:bulletEnabled val="1"/>
        </dgm:presLayoutVars>
      </dgm:prSet>
      <dgm:spPr/>
    </dgm:pt>
    <dgm:pt modelId="{D961EFFD-E145-496E-8B98-FECB62D6DEE1}" type="pres">
      <dgm:prSet presAssocID="{791FA2F7-9D52-4B82-BC51-B1F1763E2E39}" presName="spacing" presStyleCnt="0"/>
      <dgm:spPr/>
    </dgm:pt>
    <dgm:pt modelId="{DD78088C-B587-4489-954F-341F88B0189E}" type="pres">
      <dgm:prSet presAssocID="{B876E4EB-50AE-49EF-B7A9-7034A3710BF0}" presName="composite" presStyleCnt="0"/>
      <dgm:spPr/>
    </dgm:pt>
    <dgm:pt modelId="{4A66C66F-A78B-41BC-BDB1-8B49AB3FC74B}" type="pres">
      <dgm:prSet presAssocID="{B876E4EB-50AE-49EF-B7A9-7034A3710BF0}" presName="imgShp" presStyleLbl="fgImgPlace1" presStyleIdx="4" presStyleCnt="5"/>
      <dgm:spPr>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a:stretch>
        </a:blipFill>
      </dgm:spPr>
      <dgm:extLst>
        <a:ext uri="{E40237B7-FDA0-4F09-8148-C483321AD2D9}">
          <dgm14:cNvPr xmlns:dgm14="http://schemas.microsoft.com/office/drawing/2010/diagram" id="0" name="" descr="Bar graph with upward trend with solid fill"/>
        </a:ext>
      </dgm:extLst>
    </dgm:pt>
    <dgm:pt modelId="{AF791B31-AD2C-4375-9B80-DE22C58507F0}" type="pres">
      <dgm:prSet presAssocID="{B876E4EB-50AE-49EF-B7A9-7034A3710BF0}" presName="txShp" presStyleLbl="node1" presStyleIdx="4" presStyleCnt="5">
        <dgm:presLayoutVars>
          <dgm:bulletEnabled val="1"/>
        </dgm:presLayoutVars>
      </dgm:prSet>
      <dgm:spPr/>
    </dgm:pt>
  </dgm:ptLst>
  <dgm:cxnLst>
    <dgm:cxn modelId="{AE76F007-C908-41D4-92D3-CDA7F9BC8359}" srcId="{FA43A56A-F11E-4DF0-B9A5-D5B070544862}" destId="{ECA3EC8E-4AF5-4ED6-9C5F-2D4C59ACF463}" srcOrd="0" destOrd="0" parTransId="{CCDCA43B-6805-49ED-9C1E-053971484C9D}" sibTransId="{96894C7A-4C80-4E4E-BBCA-34C66F5F9680}"/>
    <dgm:cxn modelId="{BBF8B109-2813-4D95-BA73-5851E74A9701}" type="presOf" srcId="{EC6FCB7A-4E37-473E-BA35-E8A2BE973C4F}" destId="{14353460-6C8C-4F7E-AE53-27605D82E714}" srcOrd="0" destOrd="0" presId="urn:microsoft.com/office/officeart/2005/8/layout/vList3"/>
    <dgm:cxn modelId="{1E330913-6705-494F-800F-302FB31AD35D}" srcId="{C238F275-4CD1-4796-9C70-22978064B6D5}" destId="{B34C89E7-AA4B-4534-B30B-11E6551A9133}" srcOrd="3" destOrd="0" parTransId="{6DB72CA7-0187-4584-BE6E-893957AA4350}" sibTransId="{791FA2F7-9D52-4B82-BC51-B1F1763E2E39}"/>
    <dgm:cxn modelId="{D541FB1B-A632-45AE-9824-623889F7D8BF}" srcId="{C238F275-4CD1-4796-9C70-22978064B6D5}" destId="{D9EB0ABA-BB75-4181-9DAF-F7C7B3D8C79C}" srcOrd="1" destOrd="0" parTransId="{50D08E46-78CE-46CE-9DCC-38AA8B18F4A3}" sibTransId="{F50BB1F5-588B-4F1C-A5B7-FBB72A3FF994}"/>
    <dgm:cxn modelId="{07C5A21C-73E1-4090-9DE0-9E8537BF6554}" type="presOf" srcId="{B876E4EB-50AE-49EF-B7A9-7034A3710BF0}" destId="{AF791B31-AD2C-4375-9B80-DE22C58507F0}" srcOrd="0" destOrd="0" presId="urn:microsoft.com/office/officeart/2005/8/layout/vList3"/>
    <dgm:cxn modelId="{711D3A33-49A7-4054-9A73-A4F683F186E9}" srcId="{B876E4EB-50AE-49EF-B7A9-7034A3710BF0}" destId="{6A88C68C-4F05-4C65-82DD-5D7FB6AFE31C}" srcOrd="0" destOrd="0" parTransId="{95C54DB7-E07D-4C3A-8A17-F75431F8F5C1}" sibTransId="{13B37E99-4BAD-48D7-975A-B845BDF817B9}"/>
    <dgm:cxn modelId="{ABA6C136-130C-4092-B9D9-3DA6187F9154}" srcId="{C238F275-4CD1-4796-9C70-22978064B6D5}" destId="{B876E4EB-50AE-49EF-B7A9-7034A3710BF0}" srcOrd="4" destOrd="0" parTransId="{7F6AAB27-58E3-4C5E-B762-4B39F6395CDE}" sibTransId="{85D8D08F-FB2B-46BB-B26D-B21CA9B41834}"/>
    <dgm:cxn modelId="{05ACD53E-7283-465F-971F-6BA2B467521C}" srcId="{C238F275-4CD1-4796-9C70-22978064B6D5}" destId="{EC6FCB7A-4E37-473E-BA35-E8A2BE973C4F}" srcOrd="2" destOrd="0" parTransId="{477D9663-B0FA-4658-9D7C-9D9CD5EC6DF2}" sibTransId="{308ABAE9-A8B9-4167-A5BE-0E0949106170}"/>
    <dgm:cxn modelId="{73C34F4E-808D-4CD0-9161-805B4044DAD6}" srcId="{D9EB0ABA-BB75-4181-9DAF-F7C7B3D8C79C}" destId="{D1970CB3-A1CD-42FF-B897-A7A28FF9BF07}" srcOrd="0" destOrd="0" parTransId="{F3789915-6F36-4A40-8DFA-7EFE9714CD5B}" sibTransId="{20B2A38A-DF19-4FB4-9775-A03B1AD7C5A9}"/>
    <dgm:cxn modelId="{99E2EB78-F12A-4E6C-9AD5-F2C38D59D9E8}" srcId="{EC6FCB7A-4E37-473E-BA35-E8A2BE973C4F}" destId="{07343565-0C83-4FEC-82D7-810F9C07B4C5}" srcOrd="0" destOrd="0" parTransId="{99D7618F-8A3C-4A32-B26E-232C05D1686C}" sibTransId="{E4D19C62-834B-4169-82BE-185A77785758}"/>
    <dgm:cxn modelId="{D4A75386-A2D6-4B75-AEBC-EADB194B3078}" type="presOf" srcId="{1A1E7C88-85D7-4EAF-9723-0D7CD7EF7EB4}" destId="{AD856F11-4F50-4E52-A62B-BEC9FC9D49A6}" srcOrd="0" destOrd="1" presId="urn:microsoft.com/office/officeart/2005/8/layout/vList3"/>
    <dgm:cxn modelId="{A1210E8D-684B-487F-8388-A245E9E46553}" type="presOf" srcId="{D9EB0ABA-BB75-4181-9DAF-F7C7B3D8C79C}" destId="{934B8D4C-F4E0-4A17-9BD7-CD24CF20AA33}" srcOrd="0" destOrd="0" presId="urn:microsoft.com/office/officeart/2005/8/layout/vList3"/>
    <dgm:cxn modelId="{19BA4B96-D5F5-4B54-8D6E-0837D3B4CB7A}" srcId="{C238F275-4CD1-4796-9C70-22978064B6D5}" destId="{FA43A56A-F11E-4DF0-B9A5-D5B070544862}" srcOrd="0" destOrd="0" parTransId="{9610DC66-9577-4110-BDB7-FB84D2168BE7}" sibTransId="{527853A6-9434-4C71-8460-7ECCE30AB1EC}"/>
    <dgm:cxn modelId="{68F2FF98-DE38-4316-83E6-5021C76AFB0C}" type="presOf" srcId="{07343565-0C83-4FEC-82D7-810F9C07B4C5}" destId="{14353460-6C8C-4F7E-AE53-27605D82E714}" srcOrd="0" destOrd="1" presId="urn:microsoft.com/office/officeart/2005/8/layout/vList3"/>
    <dgm:cxn modelId="{CDBF47A8-B8D2-44E6-9AB5-3507408424F6}" type="presOf" srcId="{B34C89E7-AA4B-4534-B30B-11E6551A9133}" destId="{AD856F11-4F50-4E52-A62B-BEC9FC9D49A6}" srcOrd="0" destOrd="0" presId="urn:microsoft.com/office/officeart/2005/8/layout/vList3"/>
    <dgm:cxn modelId="{CAEB26CE-4A1B-4798-8C8A-67136A2D55AF}" type="presOf" srcId="{6A88C68C-4F05-4C65-82DD-5D7FB6AFE31C}" destId="{AF791B31-AD2C-4375-9B80-DE22C58507F0}" srcOrd="0" destOrd="1" presId="urn:microsoft.com/office/officeart/2005/8/layout/vList3"/>
    <dgm:cxn modelId="{A14BBCE3-17CE-4D68-9330-9B86D251CEA1}" type="presOf" srcId="{C238F275-4CD1-4796-9C70-22978064B6D5}" destId="{C493ED86-3A6F-4888-87EC-A1F6CE494828}" srcOrd="0" destOrd="0" presId="urn:microsoft.com/office/officeart/2005/8/layout/vList3"/>
    <dgm:cxn modelId="{D0CCD3E9-B6A4-4E79-9FB1-B4EE6EE63F57}" type="presOf" srcId="{FA43A56A-F11E-4DF0-B9A5-D5B070544862}" destId="{06E10575-5782-4860-9FCA-3CBB676FCBD1}" srcOrd="0" destOrd="0" presId="urn:microsoft.com/office/officeart/2005/8/layout/vList3"/>
    <dgm:cxn modelId="{ED6D37EF-14B1-480E-B72B-6C49F6D9715A}" type="presOf" srcId="{ECA3EC8E-4AF5-4ED6-9C5F-2D4C59ACF463}" destId="{06E10575-5782-4860-9FCA-3CBB676FCBD1}" srcOrd="0" destOrd="1" presId="urn:microsoft.com/office/officeart/2005/8/layout/vList3"/>
    <dgm:cxn modelId="{AABBECF4-9C6F-4492-AE39-6BCDDB3ED5C3}" srcId="{B34C89E7-AA4B-4534-B30B-11E6551A9133}" destId="{1A1E7C88-85D7-4EAF-9723-0D7CD7EF7EB4}" srcOrd="0" destOrd="0" parTransId="{BF7BFBF5-BDCD-48C5-B3DF-2266A5463F02}" sibTransId="{15BC8C7C-DCAA-48F8-AF8E-4B012FB7330B}"/>
    <dgm:cxn modelId="{F1DC55F8-8FF6-4FED-84BE-0EFDC8A9FD4D}" type="presOf" srcId="{D1970CB3-A1CD-42FF-B897-A7A28FF9BF07}" destId="{934B8D4C-F4E0-4A17-9BD7-CD24CF20AA33}" srcOrd="0" destOrd="1" presId="urn:microsoft.com/office/officeart/2005/8/layout/vList3"/>
    <dgm:cxn modelId="{3398EBC2-469B-4F8A-B4D6-8765A5A535B3}" type="presParOf" srcId="{C493ED86-3A6F-4888-87EC-A1F6CE494828}" destId="{9417435D-3DE6-4540-9534-6FB8BDE32D9B}" srcOrd="0" destOrd="0" presId="urn:microsoft.com/office/officeart/2005/8/layout/vList3"/>
    <dgm:cxn modelId="{D2AD8F03-EF35-41CE-84D1-E27F6F4621C7}" type="presParOf" srcId="{9417435D-3DE6-4540-9534-6FB8BDE32D9B}" destId="{057E680D-AF6F-4125-B087-08A88D86C76D}" srcOrd="0" destOrd="0" presId="urn:microsoft.com/office/officeart/2005/8/layout/vList3"/>
    <dgm:cxn modelId="{3AA5DC31-4C99-4367-9772-800C21D64496}" type="presParOf" srcId="{9417435D-3DE6-4540-9534-6FB8BDE32D9B}" destId="{06E10575-5782-4860-9FCA-3CBB676FCBD1}" srcOrd="1" destOrd="0" presId="urn:microsoft.com/office/officeart/2005/8/layout/vList3"/>
    <dgm:cxn modelId="{9E73E281-D4B7-4CE8-A305-7A46798142D5}" type="presParOf" srcId="{C493ED86-3A6F-4888-87EC-A1F6CE494828}" destId="{6CFC78A1-28D4-42BF-AB5A-217276E05DC1}" srcOrd="1" destOrd="0" presId="urn:microsoft.com/office/officeart/2005/8/layout/vList3"/>
    <dgm:cxn modelId="{51825E9B-0B68-40B7-9DEF-BFABA35B6151}" type="presParOf" srcId="{C493ED86-3A6F-4888-87EC-A1F6CE494828}" destId="{1B2D5035-880F-49E9-A911-BA90453DD60A}" srcOrd="2" destOrd="0" presId="urn:microsoft.com/office/officeart/2005/8/layout/vList3"/>
    <dgm:cxn modelId="{C92B47DB-8BC7-4A23-BC3C-9D0DBE5A136C}" type="presParOf" srcId="{1B2D5035-880F-49E9-A911-BA90453DD60A}" destId="{22FC123F-EE39-4C4F-8820-2EDC626E1A47}" srcOrd="0" destOrd="0" presId="urn:microsoft.com/office/officeart/2005/8/layout/vList3"/>
    <dgm:cxn modelId="{846785CF-120B-40CA-9D9D-78FE77D945EA}" type="presParOf" srcId="{1B2D5035-880F-49E9-A911-BA90453DD60A}" destId="{934B8D4C-F4E0-4A17-9BD7-CD24CF20AA33}" srcOrd="1" destOrd="0" presId="urn:microsoft.com/office/officeart/2005/8/layout/vList3"/>
    <dgm:cxn modelId="{B5B2068B-6AD5-4C9C-BF17-C55E5A5C7723}" type="presParOf" srcId="{C493ED86-3A6F-4888-87EC-A1F6CE494828}" destId="{0CB3CB9E-7B97-407E-8CD0-4CBB7B8295D3}" srcOrd="3" destOrd="0" presId="urn:microsoft.com/office/officeart/2005/8/layout/vList3"/>
    <dgm:cxn modelId="{813A6AB8-7669-4139-A43A-F2FE55CD3FAD}" type="presParOf" srcId="{C493ED86-3A6F-4888-87EC-A1F6CE494828}" destId="{0043D5C2-6520-4720-96E1-DAC6DCAD10C6}" srcOrd="4" destOrd="0" presId="urn:microsoft.com/office/officeart/2005/8/layout/vList3"/>
    <dgm:cxn modelId="{94D116FA-5CF1-4D30-9C73-0B9A5637DF7E}" type="presParOf" srcId="{0043D5C2-6520-4720-96E1-DAC6DCAD10C6}" destId="{DE7D18EF-E5F6-446C-9185-9F811462B3A0}" srcOrd="0" destOrd="0" presId="urn:microsoft.com/office/officeart/2005/8/layout/vList3"/>
    <dgm:cxn modelId="{1C76630E-9D0B-485C-BF11-BA6FB34AB394}" type="presParOf" srcId="{0043D5C2-6520-4720-96E1-DAC6DCAD10C6}" destId="{14353460-6C8C-4F7E-AE53-27605D82E714}" srcOrd="1" destOrd="0" presId="urn:microsoft.com/office/officeart/2005/8/layout/vList3"/>
    <dgm:cxn modelId="{6F3DCE43-4A96-4F78-B66D-E07C94317E50}" type="presParOf" srcId="{C493ED86-3A6F-4888-87EC-A1F6CE494828}" destId="{4A1A19B8-3102-400C-8DEE-D60AAB103382}" srcOrd="5" destOrd="0" presId="urn:microsoft.com/office/officeart/2005/8/layout/vList3"/>
    <dgm:cxn modelId="{980DADBC-F05C-4389-B4C3-D123A8A0FB88}" type="presParOf" srcId="{C493ED86-3A6F-4888-87EC-A1F6CE494828}" destId="{648A0044-7A10-4921-8A31-87E16EDE2FCC}" srcOrd="6" destOrd="0" presId="urn:microsoft.com/office/officeart/2005/8/layout/vList3"/>
    <dgm:cxn modelId="{4CB601E6-397A-4308-84D5-3F27300948EC}" type="presParOf" srcId="{648A0044-7A10-4921-8A31-87E16EDE2FCC}" destId="{13908E4E-B28F-4418-8C9F-6AAD85E994CF}" srcOrd="0" destOrd="0" presId="urn:microsoft.com/office/officeart/2005/8/layout/vList3"/>
    <dgm:cxn modelId="{B40A7908-071B-4F54-B77B-5D06E6A8A130}" type="presParOf" srcId="{648A0044-7A10-4921-8A31-87E16EDE2FCC}" destId="{AD856F11-4F50-4E52-A62B-BEC9FC9D49A6}" srcOrd="1" destOrd="0" presId="urn:microsoft.com/office/officeart/2005/8/layout/vList3"/>
    <dgm:cxn modelId="{49E0575E-2E67-4C4B-BE8B-18C2DE0822F1}" type="presParOf" srcId="{C493ED86-3A6F-4888-87EC-A1F6CE494828}" destId="{D961EFFD-E145-496E-8B98-FECB62D6DEE1}" srcOrd="7" destOrd="0" presId="urn:microsoft.com/office/officeart/2005/8/layout/vList3"/>
    <dgm:cxn modelId="{A2158CB5-706C-46AC-B86C-4B848D5058EA}" type="presParOf" srcId="{C493ED86-3A6F-4888-87EC-A1F6CE494828}" destId="{DD78088C-B587-4489-954F-341F88B0189E}" srcOrd="8" destOrd="0" presId="urn:microsoft.com/office/officeart/2005/8/layout/vList3"/>
    <dgm:cxn modelId="{EC964D58-06C6-4961-BCE9-FF6E866B70CC}" type="presParOf" srcId="{DD78088C-B587-4489-954F-341F88B0189E}" destId="{4A66C66F-A78B-41BC-BDB1-8B49AB3FC74B}" srcOrd="0" destOrd="0" presId="urn:microsoft.com/office/officeart/2005/8/layout/vList3"/>
    <dgm:cxn modelId="{E3A67DE7-1C0D-450F-8384-AE3E47AA1DA8}" type="presParOf" srcId="{DD78088C-B587-4489-954F-341F88B0189E}" destId="{AF791B31-AD2C-4375-9B80-DE22C58507F0}" srcOrd="1" destOrd="0" presId="urn:microsoft.com/office/officeart/2005/8/layout/vList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E10575-5782-4860-9FCA-3CBB676FCBD1}">
      <dsp:nvSpPr>
        <dsp:cNvPr id="0" name=""/>
        <dsp:cNvSpPr/>
      </dsp:nvSpPr>
      <dsp:spPr>
        <a:xfrm rot="10800000">
          <a:off x="1274224" y="2038"/>
          <a:ext cx="4091844" cy="974288"/>
        </a:xfrm>
        <a:prstGeom prst="homePlat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29634" tIns="49530" rIns="92456" bIns="49530" numCol="1" spcCol="1270" anchor="t" anchorCtr="0">
          <a:noAutofit/>
        </a:bodyPr>
        <a:lstStyle/>
        <a:p>
          <a:pPr marL="0" lvl="0" indent="0" algn="l" defTabSz="577850">
            <a:lnSpc>
              <a:spcPct val="90000"/>
            </a:lnSpc>
            <a:spcBef>
              <a:spcPct val="0"/>
            </a:spcBef>
            <a:spcAft>
              <a:spcPct val="35000"/>
            </a:spcAft>
            <a:buNone/>
          </a:pPr>
          <a:r>
            <a:rPr lang="en-GB" sz="1300" kern="1200"/>
            <a:t>Vision</a:t>
          </a:r>
        </a:p>
        <a:p>
          <a:pPr marL="57150" lvl="1" indent="-57150" algn="l" defTabSz="444500">
            <a:lnSpc>
              <a:spcPct val="90000"/>
            </a:lnSpc>
            <a:spcBef>
              <a:spcPct val="0"/>
            </a:spcBef>
            <a:spcAft>
              <a:spcPct val="15000"/>
            </a:spcAft>
            <a:buChar char="•"/>
          </a:pPr>
          <a:r>
            <a:rPr lang="en-GB" sz="1000" kern="1200"/>
            <a:t>We will support, develop and prepare staff to operate in the environments that they face.</a:t>
          </a:r>
        </a:p>
      </dsp:txBody>
      <dsp:txXfrm rot="10800000">
        <a:off x="1517796" y="2038"/>
        <a:ext cx="3848272" cy="974288"/>
      </dsp:txXfrm>
    </dsp:sp>
    <dsp:sp modelId="{057E680D-AF6F-4125-B087-08A88D86C76D}">
      <dsp:nvSpPr>
        <dsp:cNvPr id="0" name=""/>
        <dsp:cNvSpPr/>
      </dsp:nvSpPr>
      <dsp:spPr>
        <a:xfrm>
          <a:off x="787080" y="2038"/>
          <a:ext cx="974288" cy="974288"/>
        </a:xfrm>
        <a:prstGeom prst="ellipse">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a:noFill/>
        </a:ln>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934B8D4C-F4E0-4A17-9BD7-CD24CF20AA33}">
      <dsp:nvSpPr>
        <dsp:cNvPr id="0" name=""/>
        <dsp:cNvSpPr/>
      </dsp:nvSpPr>
      <dsp:spPr>
        <a:xfrm rot="10800000">
          <a:off x="1274224" y="1267159"/>
          <a:ext cx="4091844" cy="974288"/>
        </a:xfrm>
        <a:prstGeom prst="homePlate">
          <a:avLst/>
        </a:prstGeom>
        <a:gradFill rotWithShape="0">
          <a:gsLst>
            <a:gs pos="0">
              <a:schemeClr val="accent5">
                <a:hueOff val="-1689636"/>
                <a:satOff val="-4355"/>
                <a:lumOff val="-2941"/>
                <a:alphaOff val="0"/>
                <a:satMod val="103000"/>
                <a:lumMod val="102000"/>
                <a:tint val="94000"/>
              </a:schemeClr>
            </a:gs>
            <a:gs pos="50000">
              <a:schemeClr val="accent5">
                <a:hueOff val="-1689636"/>
                <a:satOff val="-4355"/>
                <a:lumOff val="-2941"/>
                <a:alphaOff val="0"/>
                <a:satMod val="110000"/>
                <a:lumMod val="100000"/>
                <a:shade val="100000"/>
              </a:schemeClr>
            </a:gs>
            <a:gs pos="100000">
              <a:schemeClr val="accent5">
                <a:hueOff val="-1689636"/>
                <a:satOff val="-4355"/>
                <a:lumOff val="-2941"/>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29634" tIns="49530" rIns="92456" bIns="49530" numCol="1" spcCol="1270" anchor="t" anchorCtr="0">
          <a:noAutofit/>
        </a:bodyPr>
        <a:lstStyle/>
        <a:p>
          <a:pPr marL="0" lvl="0" indent="0" algn="l" defTabSz="577850">
            <a:lnSpc>
              <a:spcPct val="90000"/>
            </a:lnSpc>
            <a:spcBef>
              <a:spcPct val="0"/>
            </a:spcBef>
            <a:spcAft>
              <a:spcPct val="35000"/>
            </a:spcAft>
            <a:buNone/>
          </a:pPr>
          <a:r>
            <a:rPr lang="en-GB" sz="1300" kern="1200"/>
            <a:t>Environment</a:t>
          </a:r>
        </a:p>
        <a:p>
          <a:pPr marL="57150" lvl="1" indent="-57150" algn="l" defTabSz="444500">
            <a:lnSpc>
              <a:spcPct val="90000"/>
            </a:lnSpc>
            <a:spcBef>
              <a:spcPct val="0"/>
            </a:spcBef>
            <a:spcAft>
              <a:spcPct val="15000"/>
            </a:spcAft>
            <a:buChar char="•"/>
          </a:pPr>
          <a:r>
            <a:rPr lang="en-GB" sz="1000" kern="1200"/>
            <a:t>The Training and Development framework clearly links training, competence, and operational effectiveness.</a:t>
          </a:r>
        </a:p>
      </dsp:txBody>
      <dsp:txXfrm rot="10800000">
        <a:off x="1517796" y="1267159"/>
        <a:ext cx="3848272" cy="974288"/>
      </dsp:txXfrm>
    </dsp:sp>
    <dsp:sp modelId="{22FC123F-EE39-4C4F-8820-2EDC626E1A47}">
      <dsp:nvSpPr>
        <dsp:cNvPr id="0" name=""/>
        <dsp:cNvSpPr/>
      </dsp:nvSpPr>
      <dsp:spPr>
        <a:xfrm>
          <a:off x="787080" y="1267159"/>
          <a:ext cx="974288" cy="974288"/>
        </a:xfrm>
        <a:prstGeom prst="ellipse">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a:noFill/>
        </a:ln>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14353460-6C8C-4F7E-AE53-27605D82E714}">
      <dsp:nvSpPr>
        <dsp:cNvPr id="0" name=""/>
        <dsp:cNvSpPr/>
      </dsp:nvSpPr>
      <dsp:spPr>
        <a:xfrm rot="10800000">
          <a:off x="1274224" y="2532280"/>
          <a:ext cx="4091844" cy="974288"/>
        </a:xfrm>
        <a:prstGeom prst="homePlate">
          <a:avLst/>
        </a:prstGeom>
        <a:gradFill rotWithShape="0">
          <a:gsLst>
            <a:gs pos="0">
              <a:schemeClr val="accent5">
                <a:hueOff val="-3379271"/>
                <a:satOff val="-8710"/>
                <a:lumOff val="-5883"/>
                <a:alphaOff val="0"/>
                <a:satMod val="103000"/>
                <a:lumMod val="102000"/>
                <a:tint val="94000"/>
              </a:schemeClr>
            </a:gs>
            <a:gs pos="50000">
              <a:schemeClr val="accent5">
                <a:hueOff val="-3379271"/>
                <a:satOff val="-8710"/>
                <a:lumOff val="-5883"/>
                <a:alphaOff val="0"/>
                <a:satMod val="110000"/>
                <a:lumMod val="100000"/>
                <a:shade val="100000"/>
              </a:schemeClr>
            </a:gs>
            <a:gs pos="100000">
              <a:schemeClr val="accent5">
                <a:hueOff val="-3379271"/>
                <a:satOff val="-8710"/>
                <a:lumOff val="-5883"/>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29634" tIns="49530" rIns="92456" bIns="49530" numCol="1" spcCol="1270" anchor="t" anchorCtr="0">
          <a:noAutofit/>
        </a:bodyPr>
        <a:lstStyle/>
        <a:p>
          <a:pPr marL="0" lvl="0" indent="0" algn="l" defTabSz="577850">
            <a:lnSpc>
              <a:spcPct val="90000"/>
            </a:lnSpc>
            <a:spcBef>
              <a:spcPct val="0"/>
            </a:spcBef>
            <a:spcAft>
              <a:spcPct val="35000"/>
            </a:spcAft>
            <a:buNone/>
          </a:pPr>
          <a:r>
            <a:rPr lang="en-GB" sz="1300" kern="1200"/>
            <a:t>Strategic Drivers</a:t>
          </a:r>
        </a:p>
        <a:p>
          <a:pPr marL="57150" lvl="1" indent="-57150" algn="l" defTabSz="444500">
            <a:lnSpc>
              <a:spcPct val="90000"/>
            </a:lnSpc>
            <a:spcBef>
              <a:spcPct val="0"/>
            </a:spcBef>
            <a:spcAft>
              <a:spcPct val="15000"/>
            </a:spcAft>
            <a:buChar char="•"/>
          </a:pPr>
          <a:r>
            <a:rPr lang="en-GB" sz="1000" kern="1200"/>
            <a:t> Legislation, Fire Standards and the assessement of risk  provide the parameters for operational competence and how we achieve it. </a:t>
          </a:r>
        </a:p>
      </dsp:txBody>
      <dsp:txXfrm rot="10800000">
        <a:off x="1517796" y="2532280"/>
        <a:ext cx="3848272" cy="974288"/>
      </dsp:txXfrm>
    </dsp:sp>
    <dsp:sp modelId="{DE7D18EF-E5F6-446C-9185-9F811462B3A0}">
      <dsp:nvSpPr>
        <dsp:cNvPr id="0" name=""/>
        <dsp:cNvSpPr/>
      </dsp:nvSpPr>
      <dsp:spPr>
        <a:xfrm>
          <a:off x="787080" y="2532280"/>
          <a:ext cx="974288" cy="974288"/>
        </a:xfrm>
        <a:prstGeom prst="ellipse">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a:noFill/>
        </a:ln>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AD856F11-4F50-4E52-A62B-BEC9FC9D49A6}">
      <dsp:nvSpPr>
        <dsp:cNvPr id="0" name=""/>
        <dsp:cNvSpPr/>
      </dsp:nvSpPr>
      <dsp:spPr>
        <a:xfrm rot="10800000">
          <a:off x="1274224" y="3797401"/>
          <a:ext cx="4091844" cy="974288"/>
        </a:xfrm>
        <a:prstGeom prst="homePlate">
          <a:avLst/>
        </a:prstGeom>
        <a:gradFill rotWithShape="0">
          <a:gsLst>
            <a:gs pos="0">
              <a:schemeClr val="accent5">
                <a:hueOff val="-5068907"/>
                <a:satOff val="-13064"/>
                <a:lumOff val="-8824"/>
                <a:alphaOff val="0"/>
                <a:satMod val="103000"/>
                <a:lumMod val="102000"/>
                <a:tint val="94000"/>
              </a:schemeClr>
            </a:gs>
            <a:gs pos="50000">
              <a:schemeClr val="accent5">
                <a:hueOff val="-5068907"/>
                <a:satOff val="-13064"/>
                <a:lumOff val="-8824"/>
                <a:alphaOff val="0"/>
                <a:satMod val="110000"/>
                <a:lumMod val="100000"/>
                <a:shade val="100000"/>
              </a:schemeClr>
            </a:gs>
            <a:gs pos="100000">
              <a:schemeClr val="accent5">
                <a:hueOff val="-5068907"/>
                <a:satOff val="-13064"/>
                <a:lumOff val="-8824"/>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29634" tIns="49530" rIns="92456" bIns="49530" numCol="1" spcCol="1270" anchor="t" anchorCtr="0">
          <a:noAutofit/>
        </a:bodyPr>
        <a:lstStyle/>
        <a:p>
          <a:pPr marL="0" lvl="0" indent="0" algn="l" defTabSz="577850">
            <a:lnSpc>
              <a:spcPct val="90000"/>
            </a:lnSpc>
            <a:spcBef>
              <a:spcPct val="0"/>
            </a:spcBef>
            <a:spcAft>
              <a:spcPct val="35000"/>
            </a:spcAft>
            <a:buNone/>
          </a:pPr>
          <a:r>
            <a:rPr lang="en-GB" sz="1300" kern="1200"/>
            <a:t>Defining the requirement</a:t>
          </a:r>
        </a:p>
        <a:p>
          <a:pPr marL="57150" lvl="1" indent="-57150" algn="l" defTabSz="444500">
            <a:lnSpc>
              <a:spcPct val="90000"/>
            </a:lnSpc>
            <a:spcBef>
              <a:spcPct val="0"/>
            </a:spcBef>
            <a:spcAft>
              <a:spcPct val="15000"/>
            </a:spcAft>
            <a:buChar char="•"/>
          </a:pPr>
          <a:r>
            <a:rPr lang="en-GB" sz="1000" kern="1200"/>
            <a:t> Develop plans aligned with this Strategy to deliver training and assess safety critical elements.</a:t>
          </a:r>
        </a:p>
      </dsp:txBody>
      <dsp:txXfrm rot="10800000">
        <a:off x="1517796" y="3797401"/>
        <a:ext cx="3848272" cy="974288"/>
      </dsp:txXfrm>
    </dsp:sp>
    <dsp:sp modelId="{13908E4E-B28F-4418-8C9F-6AAD85E994CF}">
      <dsp:nvSpPr>
        <dsp:cNvPr id="0" name=""/>
        <dsp:cNvSpPr/>
      </dsp:nvSpPr>
      <dsp:spPr>
        <a:xfrm>
          <a:off x="787080" y="3797401"/>
          <a:ext cx="974288" cy="974288"/>
        </a:xfrm>
        <a:prstGeom prst="ellipse">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a:blipFill>
        <a:ln>
          <a:noFill/>
        </a:ln>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AF791B31-AD2C-4375-9B80-DE22C58507F0}">
      <dsp:nvSpPr>
        <dsp:cNvPr id="0" name=""/>
        <dsp:cNvSpPr/>
      </dsp:nvSpPr>
      <dsp:spPr>
        <a:xfrm rot="10800000">
          <a:off x="1274224" y="5062523"/>
          <a:ext cx="4091844" cy="974288"/>
        </a:xfrm>
        <a:prstGeom prst="homePlate">
          <a:avLst/>
        </a:prstGeom>
        <a:gradFill rotWithShape="0">
          <a:gsLst>
            <a:gs pos="0">
              <a:schemeClr val="accent5">
                <a:hueOff val="-6758543"/>
                <a:satOff val="-17419"/>
                <a:lumOff val="-11765"/>
                <a:alphaOff val="0"/>
                <a:satMod val="103000"/>
                <a:lumMod val="102000"/>
                <a:tint val="94000"/>
              </a:schemeClr>
            </a:gs>
            <a:gs pos="50000">
              <a:schemeClr val="accent5">
                <a:hueOff val="-6758543"/>
                <a:satOff val="-17419"/>
                <a:lumOff val="-11765"/>
                <a:alphaOff val="0"/>
                <a:satMod val="110000"/>
                <a:lumMod val="100000"/>
                <a:shade val="100000"/>
              </a:schemeClr>
            </a:gs>
            <a:gs pos="100000">
              <a:schemeClr val="accent5">
                <a:hueOff val="-6758543"/>
                <a:satOff val="-17419"/>
                <a:lumOff val="-11765"/>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29634" tIns="49530" rIns="92456" bIns="49530" numCol="1" spcCol="1270" anchor="t" anchorCtr="0">
          <a:noAutofit/>
        </a:bodyPr>
        <a:lstStyle/>
        <a:p>
          <a:pPr marL="0" lvl="0" indent="0" algn="l" defTabSz="577850">
            <a:lnSpc>
              <a:spcPct val="90000"/>
            </a:lnSpc>
            <a:spcBef>
              <a:spcPct val="0"/>
            </a:spcBef>
            <a:spcAft>
              <a:spcPct val="35000"/>
            </a:spcAft>
            <a:buNone/>
          </a:pPr>
          <a:r>
            <a:rPr lang="en-GB" sz="1300" kern="1200"/>
            <a:t>Strategic Performance Measures</a:t>
          </a:r>
        </a:p>
        <a:p>
          <a:pPr marL="57150" lvl="1" indent="-57150" algn="l" defTabSz="444500">
            <a:lnSpc>
              <a:spcPct val="90000"/>
            </a:lnSpc>
            <a:spcBef>
              <a:spcPct val="0"/>
            </a:spcBef>
            <a:spcAft>
              <a:spcPct val="15000"/>
            </a:spcAft>
            <a:buChar char="•"/>
          </a:pPr>
          <a:r>
            <a:rPr lang="en-GB" sz="1000" kern="1200"/>
            <a:t> Performance recording, reporting and analysis will enable us to measure strategy success. </a:t>
          </a:r>
        </a:p>
      </dsp:txBody>
      <dsp:txXfrm rot="10800000">
        <a:off x="1517796" y="5062523"/>
        <a:ext cx="3848272" cy="974288"/>
      </dsp:txXfrm>
    </dsp:sp>
    <dsp:sp modelId="{4A66C66F-A78B-41BC-BDB1-8B49AB3FC74B}">
      <dsp:nvSpPr>
        <dsp:cNvPr id="0" name=""/>
        <dsp:cNvSpPr/>
      </dsp:nvSpPr>
      <dsp:spPr>
        <a:xfrm>
          <a:off x="787080" y="5062523"/>
          <a:ext cx="974288" cy="974288"/>
        </a:xfrm>
        <a:prstGeom prst="ellipse">
          <a:avLst/>
        </a:prstGeom>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a:stretch>
        </a:blipFill>
        <a:ln>
          <a:noFill/>
        </a:ln>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WYFRSIssueDate xmlns="56a17faa-b30c-4b6d-980b-b24ec86b2c18">2021-06-30T23:00:00+00:00</WYFRSIssueDate>
    <WYFRSProtectiveMarkings xmlns="56a17faa-b30c-4b6d-980b-b24ec86b2c18" xsi:nil="true"/>
    <WYFRSReportSubTitle xmlns="56a17faa-b30c-4b6d-980b-b24ec86b2c18" xsi:nil="true"/>
    <WYFRSFileID xmlns="56a17faa-b30c-4b6d-980b-b24ec86b2c18" xsi:nil="true"/>
    <WYFRSFileStatus xmlns="56a17faa-b30c-4b6d-980b-b24ec86b2c18" xsi:nil="true"/>
    <Issue_x0020_Date xmlns="3765f0c6-6421-480e-83e8-63c3c01faa16">2021-06-30T23:00:00+00:00</Issue_x0020_Date>
    <Approver xmlns="3765f0c6-6421-480e-83e8-63c3c01faa16">
      <UserInfo>
        <DisplayName>Benjy Bush</DisplayName>
        <AccountId>113</AccountId>
        <AccountType/>
      </UserInfo>
    </Approver>
    <Publish_x0020_to_x0020_Library xmlns="56a17faa-b30c-4b6d-980b-b24ec86b2c18">Yes</Publish_x0020_to_x0020_Library>
    <Green_x0020_Sheet xmlns="3765f0c6-6421-480e-83e8-63c3c01faa16"/>
    <WYFRSVersion xmlns="56a17faa-b30c-4b6d-980b-b24ec86b2c18" xsi:nil="true"/>
    <Owner xmlns="3765f0c6-6421-480e-83e8-63c3c01faa16">
      <UserInfo>
        <DisplayName>Lee Miller</DisplayName>
        <AccountId>435</AccountId>
        <AccountType/>
      </UserInfo>
    </Owner>
    <Review_x0020_Date xmlns="3765f0c6-6421-480e-83e8-63c3c01faa16">2023-03-31T23:00:00+00:00</Review_x0020_Date>
    <Training_x0020_Team xmlns="56a17faa-b30c-4b6d-980b-b24ec86b2c18">Training and Development</Training_x0020_Team>
    <WYFRSOwnership xmlns="56a17faa-b30c-4b6d-980b-b24ec86b2c18">Training Centre</WYFRSOwnership>
    <Information_x0020_Category xmlns="56a17faa-b30c-4b6d-980b-b24ec86b2c18">Guidance</Information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WYFRS Policy-Procedure-Guidance" ma:contentTypeID="0x010100E0FF3B1F71CA5A42AB199A0D0236A9200100122A216EF5BA3B418A09B7EF05D176B4" ma:contentTypeVersion="14" ma:contentTypeDescription="" ma:contentTypeScope="" ma:versionID="d57555ea384be8597789252f94d812f0">
  <xsd:schema xmlns:xsd="http://www.w3.org/2001/XMLSchema" xmlns:xs="http://www.w3.org/2001/XMLSchema" xmlns:p="http://schemas.microsoft.com/office/2006/metadata/properties" xmlns:ns2="56a17faa-b30c-4b6d-980b-b24ec86b2c18" xmlns:ns3="3765f0c6-6421-480e-83e8-63c3c01faa16" xmlns:ns4="51e1c5da-9b98-4f9f-8755-b4d4742b5600" targetNamespace="http://schemas.microsoft.com/office/2006/metadata/properties" ma:root="true" ma:fieldsID="edabc514b979812dce600f34aa7a3ae9" ns2:_="" ns3:_="" ns4:_="">
    <xsd:import namespace="56a17faa-b30c-4b6d-980b-b24ec86b2c18"/>
    <xsd:import namespace="3765f0c6-6421-480e-83e8-63c3c01faa16"/>
    <xsd:import namespace="51e1c5da-9b98-4f9f-8755-b4d4742b5600"/>
    <xsd:element name="properties">
      <xsd:complexType>
        <xsd:sequence>
          <xsd:element name="documentManagement">
            <xsd:complexType>
              <xsd:all>
                <xsd:element ref="ns2:WYFRSProtectiveMarkings" minOccurs="0"/>
                <xsd:element ref="ns2:WYFRSReportSubTitle" minOccurs="0"/>
                <xsd:element ref="ns2:WYFRSVersion" minOccurs="0"/>
                <xsd:element ref="ns2:WYFRSFileStatus" minOccurs="0"/>
                <xsd:element ref="ns2:WYFRSFileID" minOccurs="0"/>
                <xsd:element ref="ns2:Information_x0020_Category" minOccurs="0"/>
                <xsd:element ref="ns2:Publish_x0020_to_x0020_Library" minOccurs="0"/>
                <xsd:element ref="ns2:Training_x0020_Team" minOccurs="0"/>
                <xsd:element ref="ns3:Green_x0020_Sheet" minOccurs="0"/>
                <xsd:element ref="ns3:Issue_x0020_Date"/>
                <xsd:element ref="ns3:Owner"/>
                <xsd:element ref="ns3:Approver"/>
                <xsd:element ref="ns3:Review_x0020_Date"/>
                <xsd:element ref="ns2:WYFRSOwnership" minOccurs="0"/>
                <xsd:element ref="ns2:WYFRSIssueDat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17faa-b30c-4b6d-980b-b24ec86b2c18" elementFormDefault="qualified">
    <xsd:import namespace="http://schemas.microsoft.com/office/2006/documentManagement/types"/>
    <xsd:import namespace="http://schemas.microsoft.com/office/infopath/2007/PartnerControls"/>
    <xsd:element name="WYFRSProtectiveMarkings" ma:index="2" nillable="true" ma:displayName="Protective Markings" ma:internalName="WYFRSProtectiveMarkings" ma:readOnly="false">
      <xsd:simpleType>
        <xsd:restriction base="dms:Text"/>
      </xsd:simpleType>
    </xsd:element>
    <xsd:element name="WYFRSReportSubTitle" ma:index="3" nillable="true" ma:displayName="Sub Title" ma:internalName="WYFRSReportSubTitle" ma:readOnly="false">
      <xsd:simpleType>
        <xsd:restriction base="dms:Text"/>
      </xsd:simpleType>
    </xsd:element>
    <xsd:element name="WYFRSVersion" ma:index="4" nillable="true" ma:displayName="Version" ma:internalName="WYFRSVersion" ma:readOnly="false">
      <xsd:simpleType>
        <xsd:restriction base="dms:Text"/>
      </xsd:simpleType>
    </xsd:element>
    <xsd:element name="WYFRSFileStatus" ma:index="5" nillable="true" ma:displayName="File Status" ma:internalName="WYFRSFileStatus" ma:readOnly="false">
      <xsd:simpleType>
        <xsd:restriction base="dms:Text"/>
      </xsd:simpleType>
    </xsd:element>
    <xsd:element name="WYFRSFileID" ma:index="6" nillable="true" ma:displayName="File ID" ma:internalName="WYFRSFileID" ma:readOnly="false">
      <xsd:simpleType>
        <xsd:restriction base="dms:Text"/>
      </xsd:simpleType>
    </xsd:element>
    <xsd:element name="Information_x0020_Category" ma:index="7" nillable="true" ma:displayName="Information Category" ma:format="Dropdown" ma:internalName="Information_x0020_Category" ma:readOnly="false">
      <xsd:simpleType>
        <xsd:restriction base="dms:Choice">
          <xsd:enumeration value="Agenda"/>
          <xsd:enumeration value="EIA"/>
          <xsd:enumeration value="Form"/>
          <xsd:enumeration value="Guidance"/>
          <xsd:enumeration value="Letter"/>
          <xsd:enumeration value="Minutes"/>
          <xsd:enumeration value="Policy"/>
          <xsd:enumeration value="Public Advice"/>
        </xsd:restriction>
      </xsd:simpleType>
    </xsd:element>
    <xsd:element name="Publish_x0020_to_x0020_Library" ma:index="8" nillable="true" ma:displayName="Publish" ma:format="Dropdown" ma:internalName="Publish_x0020_to_x0020_Library" ma:readOnly="false">
      <xsd:simpleType>
        <xsd:restriction base="dms:Choice">
          <xsd:enumeration value="Yes"/>
          <xsd:enumeration value="No"/>
        </xsd:restriction>
      </xsd:simpleType>
    </xsd:element>
    <xsd:element name="Training_x0020_Team" ma:index="9" nillable="true" ma:displayName="Training Team" ma:format="Dropdown" ma:internalName="Training_x0020_Team" ma:readOnly="false">
      <xsd:simpleType>
        <xsd:restriction base="dms:Choice">
          <xsd:enumeration value="Command Training"/>
          <xsd:enumeration value="Training Delivery"/>
          <xsd:enumeration value="Training Support"/>
          <xsd:enumeration value="Workforce Development"/>
          <xsd:enumeration value="Training Centre"/>
          <xsd:enumeration value="Technical Training &amp; Support"/>
          <xsd:enumeration value="Training and Development"/>
          <xsd:enumeration value="Unassigned"/>
        </xsd:restriction>
      </xsd:simpleType>
    </xsd:element>
    <xsd:element name="WYFRSOwnership" ma:index="15" nillable="true" ma:displayName="Ownership" ma:internalName="WYFRSOwnership" ma:readOnly="false">
      <xsd:simpleType>
        <xsd:restriction base="dms:Text"/>
      </xsd:simpleType>
    </xsd:element>
    <xsd:element name="WYFRSIssueDate" ma:index="16" nillable="true" ma:displayName="Issue Date" ma:format="DateTime" ma:internalName="WYFRSIssu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65f0c6-6421-480e-83e8-63c3c01faa16" elementFormDefault="qualified">
    <xsd:import namespace="http://schemas.microsoft.com/office/2006/documentManagement/types"/>
    <xsd:import namespace="http://schemas.microsoft.com/office/infopath/2007/PartnerControls"/>
    <xsd:element name="Green_x0020_Sheet" ma:index="10" nillable="true" ma:displayName="Green Sheet" ma:list="{e55ca85d-4464-465e-a4b6-7181128362e4}" ma:internalName="Green_x0020_Shee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Issue_x0020_Date" ma:index="11" ma:displayName="Issue Date" ma:format="DateOnly" ma:internalName="Issue_x0020_Date" ma:readOnly="false">
      <xsd:simpleType>
        <xsd:restriction base="dms:DateTime"/>
      </xsd:simpleType>
    </xsd:element>
    <xsd:element name="Owner" ma:index="12"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er" ma:index="13" ma:displayName="Approver"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Date" ma:index="14" ma:displayName="Review Date" ma:format="DateOnly" ma:internalName="Review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e1c5da-9b98-4f9f-8755-b4d4742b5600" elementFormDefault="qualified">
    <xsd:import namespace="http://schemas.microsoft.com/office/2006/documentManagement/types"/>
    <xsd:import namespace="http://schemas.microsoft.com/office/infopath/2007/PartnerControls"/>
    <xsd:element name="SharedWithUsers" ma:index="2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6787-97E0-4656-ACE6-F0D436FAE3B7}">
  <ds:schemaRefs>
    <ds:schemaRef ds:uri="http://schemas.microsoft.com/office/2006/metadata/properties"/>
    <ds:schemaRef ds:uri="http://schemas.microsoft.com/office/infopath/2007/PartnerControls"/>
    <ds:schemaRef ds:uri="56a17faa-b30c-4b6d-980b-b24ec86b2c18"/>
    <ds:schemaRef ds:uri="3765f0c6-6421-480e-83e8-63c3c01faa16"/>
  </ds:schemaRefs>
</ds:datastoreItem>
</file>

<file path=customXml/itemProps2.xml><?xml version="1.0" encoding="utf-8"?>
<ds:datastoreItem xmlns:ds="http://schemas.openxmlformats.org/officeDocument/2006/customXml" ds:itemID="{F9EC364A-CE31-4E25-85C8-7C5283091CE0}">
  <ds:schemaRefs>
    <ds:schemaRef ds:uri="http://schemas.microsoft.com/sharepoint/v3/contenttype/forms"/>
  </ds:schemaRefs>
</ds:datastoreItem>
</file>

<file path=customXml/itemProps3.xml><?xml version="1.0" encoding="utf-8"?>
<ds:datastoreItem xmlns:ds="http://schemas.openxmlformats.org/officeDocument/2006/customXml" ds:itemID="{6108B5A9-1DAB-44A4-8420-6361277E2966}">
  <ds:schemaRefs>
    <ds:schemaRef ds:uri="http://schemas.microsoft.com/office/2006/metadata/customXsn"/>
  </ds:schemaRefs>
</ds:datastoreItem>
</file>

<file path=customXml/itemProps4.xml><?xml version="1.0" encoding="utf-8"?>
<ds:datastoreItem xmlns:ds="http://schemas.openxmlformats.org/officeDocument/2006/customXml" ds:itemID="{3E30FD15-54D3-441E-9D89-E4D7BB509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17faa-b30c-4b6d-980b-b24ec86b2c18"/>
    <ds:schemaRef ds:uri="3765f0c6-6421-480e-83e8-63c3c01faa16"/>
    <ds:schemaRef ds:uri="51e1c5da-9b98-4f9f-8755-b4d4742b5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0EDC21-DB58-42A9-8CC5-5A7AF7A8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Strategy for 2021-2023</dc:title>
  <dc:subject/>
  <dc:creator>Helen Peace</dc:creator>
  <cp:keywords/>
  <dc:description/>
  <cp:lastModifiedBy>Lee Miller</cp:lastModifiedBy>
  <cp:revision>2</cp:revision>
  <dcterms:created xsi:type="dcterms:W3CDTF">2023-02-06T14:50:00Z</dcterms:created>
  <dcterms:modified xsi:type="dcterms:W3CDTF">2023-02-06T14:50:00Z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0x010100E0FF3B1F71CA5A42AB199A0D0236A9200100122A216EF5BA3B418A09B7EF05D176B4</vt:lpwstr>
  </property>
</Properties>
</file>